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before="300"/>
      </w:pPr>
      <w:r>
        <w:rPr>
          <w:rFonts w:ascii="Calibri" w:cs="Calibri" w:eastAsia="Calibri" w:hAnsi="Calibri"/>
          <w:b/>
          <w:bCs/>
          <w:sz w:val="36"/>
          <w:szCs w:val="36"/>
        </w:rPr>
        <w:t xml:space="preserve">Data Processing Agreement</w:t>
      </w:r>
    </w:p>
    <w:p>
      <w:pPr>
        <w:spacing w:after="240" w:line="300"/>
      </w:pPr>
      <w:r>
        <w:rPr>
          <w:rFonts w:ascii="Calibri" w:cs="Calibri" w:eastAsia="Calibri" w:hAnsi="Calibri"/>
          <w:color w:val="6B6A63"/>
          <w:sz w:val="21"/>
          <w:szCs w:val="21"/>
        </w:rPr>
        <w:t xml:space="preserve">Template for signature · Version 2026-10-11</w:t>
      </w:r>
    </w:p>
    <w:p>
      <w:pPr>
        <w:spacing w:after="140" w:line="300"/>
      </w:pPr>
      <w:r>
        <w:rPr>
          <w:rFonts w:ascii="Calibri" w:cs="Calibri" w:eastAsia="Calibri" w:hAnsi="Calibri"/>
          <w:sz w:val="21"/>
          <w:szCs w:val="21"/>
        </w:rPr>
        <w:t xml:space="preserve">This agreement is entered into between the customer identified below (the Customer) and the company that operates Caudals (Caudals). It applies to the personal data that Caudals processes on the Customer's behalf when the Customer uses the Caudals evaluation service, and it forms part of the Caudals Terms of Service, published at https://caudals.com/en/legal/terms.</w:t>
      </w:r>
    </w:p>
    <w:p>
      <w:pPr>
        <w:pStyle w:val="Heading1"/>
        <w:spacing w:after="120" w:before="300"/>
      </w:pPr>
      <w:r>
        <w:rPr>
          <w:rFonts w:ascii="Calibri" w:cs="Calibri" w:eastAsia="Calibri" w:hAnsi="Calibri"/>
          <w:b/>
          <w:bCs/>
          <w:sz w:val="24"/>
          <w:szCs w:val="24"/>
        </w:rPr>
        <w:t xml:space="preserve">The parties</w:t>
      </w:r>
    </w:p>
    <w:p>
      <w:pPr>
        <w:spacing w:after="140" w:line="300"/>
      </w:pPr>
      <w:r>
        <w:rPr>
          <w:rFonts w:ascii="Calibri" w:cs="Calibri" w:eastAsia="Calibri" w:hAnsi="Calibri"/>
          <w:b/>
          <w:bCs/>
          <w:sz w:val="21"/>
          <w:szCs w:val="21"/>
        </w:rPr>
        <w:t xml:space="preserve">The Customer (controller)</w:t>
      </w:r>
    </w:p>
    <w:p>
      <w:pPr>
        <w:spacing w:after="120"/>
      </w:pPr>
      <w:r>
        <w:rPr>
          <w:rFonts w:ascii="Calibri" w:cs="Calibri" w:eastAsia="Calibri" w:hAnsi="Calibri"/>
          <w:color w:val="6B6A63"/>
          <w:sz w:val="21"/>
          <w:szCs w:val="21"/>
        </w:rPr>
        <w:t xml:space="preserve">Company name: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Tax ID (NIF or VAT number):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Registered address: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Represented by (name and title):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Data protection contact: </w:t>
      </w:r>
      <w:r>
        <w:rPr>
          <w:rFonts w:ascii="Calibri" w:cs="Calibri" w:eastAsia="Calibri" w:hAnsi="Calibri"/>
          <w:sz w:val="21"/>
          <w:szCs w:val="21"/>
        </w:rPr>
        <w:t xml:space="preserve">______________________________________</w:t>
      </w:r>
    </w:p>
    <w:p>
      <w:pPr>
        <w:spacing w:after="140" w:line="300"/>
      </w:pPr>
      <w:r>
        <w:rPr>
          <w:rFonts w:ascii="Calibri" w:cs="Calibri" w:eastAsia="Calibri" w:hAnsi="Calibri"/>
          <w:b/>
          <w:bCs/>
          <w:sz w:val="21"/>
          <w:szCs w:val="21"/>
        </w:rPr>
        <w:t xml:space="preserve">Caudals (processor)</w:t>
      </w:r>
    </w:p>
    <w:p>
      <w:pPr>
        <w:spacing w:after="120"/>
      </w:pPr>
      <w:r>
        <w:rPr>
          <w:rFonts w:ascii="Calibri" w:cs="Calibri" w:eastAsia="Calibri" w:hAnsi="Calibri"/>
          <w:color w:val="6B6A63"/>
          <w:sz w:val="21"/>
          <w:szCs w:val="21"/>
        </w:rPr>
        <w:t xml:space="preserve">Company name: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Tax ID (NIF or VAT number):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Registered address: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Represented by (name and title):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Data protection contact: </w:t>
      </w:r>
      <w:r>
        <w:rPr>
          <w:rFonts w:ascii="Calibri" w:cs="Calibri" w:eastAsia="Calibri" w:hAnsi="Calibri"/>
          <w:sz w:val="21"/>
          <w:szCs w:val="21"/>
        </w:rPr>
        <w:t xml:space="preserve">______________________________________</w:t>
      </w:r>
    </w:p>
    <w:p>
      <w:pPr>
        <w:pStyle w:val="Heading2"/>
        <w:spacing w:after="120" w:before="300"/>
      </w:pPr>
      <w:r>
        <w:rPr>
          <w:rFonts w:ascii="Calibri" w:cs="Calibri" w:eastAsia="Calibri" w:hAnsi="Calibri"/>
          <w:b/>
          <w:bCs/>
          <w:sz w:val="24"/>
          <w:szCs w:val="24"/>
        </w:rPr>
        <w:t xml:space="preserve">1. Definitions</w:t>
      </w:r>
    </w:p>
    <w:p>
      <w:pPr>
        <w:spacing w:after="140" w:line="300"/>
      </w:pPr>
      <w:r>
        <w:rPr>
          <w:rFonts w:ascii="Calibri" w:cs="Calibri" w:eastAsia="Calibri" w:hAnsi="Calibri"/>
          <w:sz w:val="21"/>
          <w:szCs w:val="21"/>
        </w:rPr>
        <w:t xml:space="preserve">Personal data, processing, controller, processor, data subject and personal data breach have the meanings given in Regulation (EU) 2016/679 (GDPR). Data protection law means the GDPR, Spanish Organic Law 3/2018 (LOPDGDD) and any other law that applies to the processing.</w:t>
      </w:r>
    </w:p>
    <w:p>
      <w:pPr>
        <w:pStyle w:val="Heading2"/>
        <w:spacing w:after="120" w:before="300"/>
      </w:pPr>
      <w:r>
        <w:rPr>
          <w:rFonts w:ascii="Calibri" w:cs="Calibri" w:eastAsia="Calibri" w:hAnsi="Calibri"/>
          <w:b/>
          <w:bCs/>
          <w:sz w:val="24"/>
          <w:szCs w:val="24"/>
        </w:rPr>
        <w:t xml:space="preserve">2. Subject matter and duration</w:t>
      </w:r>
    </w:p>
    <w:p>
      <w:pPr>
        <w:spacing w:after="140" w:line="300"/>
      </w:pPr>
      <w:r>
        <w:rPr>
          <w:rFonts w:ascii="Calibri" w:cs="Calibri" w:eastAsia="Calibri" w:hAnsi="Calibri"/>
          <w:sz w:val="21"/>
          <w:szCs w:val="21"/>
        </w:rPr>
        <w:t xml:space="preserve">Caudals processes the personal data contained in the Customer's content in order to provide the evaluation service: testing the Customer's AI systems, grading their answers and producing reports and, when ordered, expert review and custom datasets. This agreement lasts for as long as Caudals processes personal data on the Customer's behalf.</w:t>
      </w:r>
    </w:p>
    <w:p>
      <w:pPr>
        <w:pStyle w:val="Heading2"/>
        <w:spacing w:after="120" w:before="300"/>
      </w:pPr>
      <w:r>
        <w:rPr>
          <w:rFonts w:ascii="Calibri" w:cs="Calibri" w:eastAsia="Calibri" w:hAnsi="Calibri"/>
          <w:b/>
          <w:bCs/>
          <w:sz w:val="24"/>
          <w:szCs w:val="24"/>
        </w:rPr>
        <w:t xml:space="preserve">3. Nature, purpose and categories</w:t>
      </w:r>
    </w:p>
    <w:p>
      <w:pPr>
        <w:spacing w:after="140" w:line="300"/>
      </w:pPr>
      <w:r>
        <w:rPr>
          <w:rFonts w:ascii="Calibri" w:cs="Calibri" w:eastAsia="Calibri" w:hAnsi="Calibri"/>
          <w:sz w:val="21"/>
          <w:szCs w:val="21"/>
        </w:rPr>
        <w:t xml:space="preserve">The nature and purpose of the processing, the types of personal data and the categories of data subjects are described in Annex 1.</w:t>
      </w:r>
    </w:p>
    <w:p>
      <w:pPr>
        <w:pStyle w:val="Heading2"/>
        <w:spacing w:after="120" w:before="300"/>
      </w:pPr>
      <w:r>
        <w:rPr>
          <w:rFonts w:ascii="Calibri" w:cs="Calibri" w:eastAsia="Calibri" w:hAnsi="Calibri"/>
          <w:b/>
          <w:bCs/>
          <w:sz w:val="24"/>
          <w:szCs w:val="24"/>
        </w:rPr>
        <w:t xml:space="preserve">4. The Customer's instructions</w:t>
      </w:r>
    </w:p>
    <w:p>
      <w:pPr>
        <w:spacing w:after="140" w:line="300"/>
      </w:pPr>
      <w:r>
        <w:rPr>
          <w:rFonts w:ascii="Calibri" w:cs="Calibri" w:eastAsia="Calibri" w:hAnsi="Calibri"/>
          <w:sz w:val="21"/>
          <w:szCs w:val="21"/>
        </w:rPr>
        <w:t xml:space="preserve">Caudals processes the personal data only on the Customer's documented instructions, which are this agreement, the Terms of Service and the Customer's use and configuration of the service, including the AI models it chooses. Caudals tells the Customer if it believes an instruction infringes data protection law. If the law requires Caudals to process the data for another purpose, Caudals tells the Customer first, unless the law forbids it.</w:t>
      </w:r>
    </w:p>
    <w:p>
      <w:pPr>
        <w:pStyle w:val="Heading2"/>
        <w:spacing w:after="120" w:before="300"/>
      </w:pPr>
      <w:r>
        <w:rPr>
          <w:rFonts w:ascii="Calibri" w:cs="Calibri" w:eastAsia="Calibri" w:hAnsi="Calibri"/>
          <w:b/>
          <w:bCs/>
          <w:sz w:val="24"/>
          <w:szCs w:val="24"/>
        </w:rPr>
        <w:t xml:space="preserve">5. The Customer's obligations</w:t>
      </w:r>
    </w:p>
    <w:p>
      <w:pPr>
        <w:spacing w:after="140" w:line="300"/>
      </w:pPr>
      <w:r>
        <w:rPr>
          <w:rFonts w:ascii="Calibri" w:cs="Calibri" w:eastAsia="Calibri" w:hAnsi="Calibri"/>
          <w:sz w:val="21"/>
          <w:szCs w:val="21"/>
        </w:rPr>
        <w:t xml:space="preserve">The Customer is responsible for the lawfulness of the processing it instructs, including having a legal basis for the personal data in its content, informing the data subjects, and being entitled to test the AI systems it connects. The Customer does not include special categories of personal data in its content unless the parties have agreed it in writing.</w:t>
      </w:r>
    </w:p>
    <w:p>
      <w:pPr>
        <w:pStyle w:val="Heading2"/>
        <w:spacing w:after="120" w:before="300"/>
      </w:pPr>
      <w:r>
        <w:rPr>
          <w:rFonts w:ascii="Calibri" w:cs="Calibri" w:eastAsia="Calibri" w:hAnsi="Calibri"/>
          <w:b/>
          <w:bCs/>
          <w:sz w:val="24"/>
          <w:szCs w:val="24"/>
        </w:rPr>
        <w:t xml:space="preserve">6. Confidentiality</w:t>
      </w:r>
    </w:p>
    <w:p>
      <w:pPr>
        <w:spacing w:after="140" w:line="300"/>
      </w:pPr>
      <w:r>
        <w:rPr>
          <w:rFonts w:ascii="Calibri" w:cs="Calibri" w:eastAsia="Calibri" w:hAnsi="Calibri"/>
          <w:sz w:val="21"/>
          <w:szCs w:val="21"/>
        </w:rPr>
        <w:t xml:space="preserve">Caudals ensures that its staff, and the freelance experts it engages, who process the personal data are bound by confidentiality obligations and see only the data their task needs. Experts receive redacted material.</w:t>
      </w:r>
    </w:p>
    <w:p>
      <w:pPr>
        <w:pStyle w:val="Heading2"/>
        <w:spacing w:after="120" w:before="300"/>
      </w:pPr>
      <w:r>
        <w:rPr>
          <w:rFonts w:ascii="Calibri" w:cs="Calibri" w:eastAsia="Calibri" w:hAnsi="Calibri"/>
          <w:b/>
          <w:bCs/>
          <w:sz w:val="24"/>
          <w:szCs w:val="24"/>
        </w:rPr>
        <w:t xml:space="preserve">7. Security</w:t>
      </w:r>
    </w:p>
    <w:p>
      <w:pPr>
        <w:spacing w:after="140" w:line="300"/>
      </w:pPr>
      <w:r>
        <w:rPr>
          <w:rFonts w:ascii="Calibri" w:cs="Calibri" w:eastAsia="Calibri" w:hAnsi="Calibri"/>
          <w:sz w:val="21"/>
          <w:szCs w:val="21"/>
        </w:rPr>
        <w:t xml:space="preserve">Caudals implements the technical and organizational measures described in Annex 2 and keeps them appropriate to the risk, taking into account the state of the art, the costs of implementation and the nature, scope, context and purposes of the processing. Caudals may update the measures provided that the overall level of protection is not reduced.</w:t>
      </w:r>
    </w:p>
    <w:p>
      <w:pPr>
        <w:pStyle w:val="Heading2"/>
        <w:spacing w:after="120" w:before="300"/>
      </w:pPr>
      <w:r>
        <w:rPr>
          <w:rFonts w:ascii="Calibri" w:cs="Calibri" w:eastAsia="Calibri" w:hAnsi="Calibri"/>
          <w:b/>
          <w:bCs/>
          <w:sz w:val="24"/>
          <w:szCs w:val="24"/>
        </w:rPr>
        <w:t xml:space="preserve">8. Sub-processors</w:t>
      </w:r>
    </w:p>
    <w:p>
      <w:pPr>
        <w:spacing w:after="140" w:line="300"/>
      </w:pPr>
      <w:r>
        <w:rPr>
          <w:rFonts w:ascii="Calibri" w:cs="Calibri" w:eastAsia="Calibri" w:hAnsi="Calibri"/>
          <w:sz w:val="21"/>
          <w:szCs w:val="21"/>
        </w:rPr>
        <w:t xml:space="preserve">The Customer gives Caudals general authorization to engage sub-processors. The sub-processors at the date of this agreement are listed in Annex 3, and the current list is published at https://caudals.com/en/legal/subprocessors. Caudals informs the Customer of any intended addition or replacement at least 30 days in advance, by email to the workspace owners and on that page. The Customer may object on reasonable data protection grounds; if the parties cannot resolve the objection, the Customer may stop using the affected service and terminate this agreement. Caudals imposes on each sub-processor data protection obligations equivalent to those in this agreement and remains responsible to the Customer for their performance.</w:t>
      </w:r>
    </w:p>
    <w:p>
      <w:pPr>
        <w:pStyle w:val="Heading2"/>
        <w:spacing w:after="120" w:before="300"/>
      </w:pPr>
      <w:r>
        <w:rPr>
          <w:rFonts w:ascii="Calibri" w:cs="Calibri" w:eastAsia="Calibri" w:hAnsi="Calibri"/>
          <w:b/>
          <w:bCs/>
          <w:sz w:val="24"/>
          <w:szCs w:val="24"/>
        </w:rPr>
        <w:t xml:space="preserve">9. International transfers</w:t>
      </w:r>
    </w:p>
    <w:p>
      <w:pPr>
        <w:spacing w:after="140" w:line="300"/>
      </w:pPr>
      <w:r>
        <w:rPr>
          <w:rFonts w:ascii="Calibri" w:cs="Calibri" w:eastAsia="Calibri" w:hAnsi="Calibri"/>
          <w:sz w:val="21"/>
          <w:szCs w:val="21"/>
        </w:rPr>
        <w:t xml:space="preserve">Caudals hosts the Customer's content in the European Union. Caudals transfers personal data outside the European Economic Area only where an adequacy decision applies or with appropriate safeguards, such as the standard contractual clauses adopted by the European Commission.</w:t>
      </w:r>
    </w:p>
    <w:p>
      <w:pPr>
        <w:pStyle w:val="Heading2"/>
        <w:spacing w:after="120" w:before="300"/>
      </w:pPr>
      <w:r>
        <w:rPr>
          <w:rFonts w:ascii="Calibri" w:cs="Calibri" w:eastAsia="Calibri" w:hAnsi="Calibri"/>
          <w:b/>
          <w:bCs/>
          <w:sz w:val="24"/>
          <w:szCs w:val="24"/>
        </w:rPr>
        <w:t xml:space="preserve">10. Requests from data subjects</w:t>
      </w:r>
    </w:p>
    <w:p>
      <w:pPr>
        <w:spacing w:after="140" w:line="300"/>
      </w:pPr>
      <w:r>
        <w:rPr>
          <w:rFonts w:ascii="Calibri" w:cs="Calibri" w:eastAsia="Calibri" w:hAnsi="Calibri"/>
          <w:sz w:val="21"/>
          <w:szCs w:val="21"/>
        </w:rPr>
        <w:t xml:space="preserve">Taking into account the nature of the processing, Caudals assists the Customer, by appropriate technical and organizational measures, in responding to requests from data subjects exercising their rights. If Caudals receives such a request directly, it forwards it to the Customer without undue delay and answers it only on the Customer's instructions.</w:t>
      </w:r>
    </w:p>
    <w:p>
      <w:pPr>
        <w:pStyle w:val="Heading2"/>
        <w:spacing w:after="120" w:before="300"/>
      </w:pPr>
      <w:r>
        <w:rPr>
          <w:rFonts w:ascii="Calibri" w:cs="Calibri" w:eastAsia="Calibri" w:hAnsi="Calibri"/>
          <w:b/>
          <w:bCs/>
          <w:sz w:val="24"/>
          <w:szCs w:val="24"/>
        </w:rPr>
        <w:t xml:space="preserve">11. Personal data breaches</w:t>
      </w:r>
    </w:p>
    <w:p>
      <w:pPr>
        <w:spacing w:after="140" w:line="300"/>
      </w:pPr>
      <w:r>
        <w:rPr>
          <w:rFonts w:ascii="Calibri" w:cs="Calibri" w:eastAsia="Calibri" w:hAnsi="Calibri"/>
          <w:sz w:val="21"/>
          <w:szCs w:val="21"/>
        </w:rPr>
        <w:t xml:space="preserve">Caudals notifies the Customer without undue delay after becoming aware of a personal data breach affecting the Customer's personal data, and provides the information reasonably available to it that the Customer needs to meet its own notification obligations. Caudals takes reasonable steps to contain the breach and mitigate its effects.</w:t>
      </w:r>
    </w:p>
    <w:p>
      <w:pPr>
        <w:pStyle w:val="Heading2"/>
        <w:spacing w:after="120" w:before="300"/>
      </w:pPr>
      <w:r>
        <w:rPr>
          <w:rFonts w:ascii="Calibri" w:cs="Calibri" w:eastAsia="Calibri" w:hAnsi="Calibri"/>
          <w:b/>
          <w:bCs/>
          <w:sz w:val="24"/>
          <w:szCs w:val="24"/>
        </w:rPr>
        <w:t xml:space="preserve">12. Assistance</w:t>
      </w:r>
    </w:p>
    <w:p>
      <w:pPr>
        <w:spacing w:after="140" w:line="300"/>
      </w:pPr>
      <w:r>
        <w:rPr>
          <w:rFonts w:ascii="Calibri" w:cs="Calibri" w:eastAsia="Calibri" w:hAnsi="Calibri"/>
          <w:sz w:val="21"/>
          <w:szCs w:val="21"/>
        </w:rPr>
        <w:t xml:space="preserve">Taking into account the nature of the processing and the information available to it, Caudals assists the Customer with data protection impact assessments and prior consultations with supervisory authorities that relate to the service.</w:t>
      </w:r>
    </w:p>
    <w:p>
      <w:pPr>
        <w:pStyle w:val="Heading2"/>
        <w:spacing w:after="120" w:before="300"/>
      </w:pPr>
      <w:r>
        <w:rPr>
          <w:rFonts w:ascii="Calibri" w:cs="Calibri" w:eastAsia="Calibri" w:hAnsi="Calibri"/>
          <w:b/>
          <w:bCs/>
          <w:sz w:val="24"/>
          <w:szCs w:val="24"/>
        </w:rPr>
        <w:t xml:space="preserve">13. Deletion and return</w:t>
      </w:r>
    </w:p>
    <w:p>
      <w:pPr>
        <w:spacing w:after="140" w:line="300"/>
      </w:pPr>
      <w:r>
        <w:rPr>
          <w:rFonts w:ascii="Calibri" w:cs="Calibri" w:eastAsia="Calibri" w:hAnsi="Calibri"/>
          <w:sz w:val="21"/>
          <w:szCs w:val="21"/>
        </w:rPr>
        <w:t xml:space="preserve">When the Customer deletes a workspace, or when the service ends, Caudals deletes the personal data processed on the Customer's behalf from its live systems, and from its backups when they expire, unless the law requires it to be kept. Before that, the Customer can export its reports and results, and may ask Caudals in writing to return the data.</w:t>
      </w:r>
    </w:p>
    <w:p>
      <w:pPr>
        <w:pStyle w:val="Heading2"/>
        <w:spacing w:after="120" w:before="300"/>
      </w:pPr>
      <w:r>
        <w:rPr>
          <w:rFonts w:ascii="Calibri" w:cs="Calibri" w:eastAsia="Calibri" w:hAnsi="Calibri"/>
          <w:b/>
          <w:bCs/>
          <w:sz w:val="24"/>
          <w:szCs w:val="24"/>
        </w:rPr>
        <w:t xml:space="preserve">14. Audits and information</w:t>
      </w:r>
    </w:p>
    <w:p>
      <w:pPr>
        <w:spacing w:after="140" w:line="300"/>
      </w:pPr>
      <w:r>
        <w:rPr>
          <w:rFonts w:ascii="Calibri" w:cs="Calibri" w:eastAsia="Calibri" w:hAnsi="Calibri"/>
          <w:sz w:val="21"/>
          <w:szCs w:val="21"/>
        </w:rPr>
        <w:t xml:space="preserve">Caudals makes available to the Customer the information necessary to show that it meets its obligations under this agreement and article 28 GDPR, and allows for and contributes to audits, including inspections, carried out by the Customer or by an auditor it appoints who is bound by confidentiality. Audits require at least 30 days' notice, take place during business hours and are limited to once a year, unless a personal data breach or a supervisory authority requires otherwise. Each party bears its own costs.</w:t>
      </w:r>
    </w:p>
    <w:p>
      <w:pPr>
        <w:pStyle w:val="Heading2"/>
        <w:spacing w:after="120" w:before="300"/>
      </w:pPr>
      <w:r>
        <w:rPr>
          <w:rFonts w:ascii="Calibri" w:cs="Calibri" w:eastAsia="Calibri" w:hAnsi="Calibri"/>
          <w:b/>
          <w:bCs/>
          <w:sz w:val="24"/>
          <w:szCs w:val="24"/>
        </w:rPr>
        <w:t xml:space="preserve">15. Liability</w:t>
      </w:r>
    </w:p>
    <w:p>
      <w:pPr>
        <w:spacing w:after="140" w:line="300"/>
      </w:pPr>
      <w:r>
        <w:rPr>
          <w:rFonts w:ascii="Calibri" w:cs="Calibri" w:eastAsia="Calibri" w:hAnsi="Calibri"/>
          <w:sz w:val="21"/>
          <w:szCs w:val="21"/>
        </w:rPr>
        <w:t xml:space="preserve">Each party's liability under this agreement is subject to the limitations in the Terms of Service, to the extent permitted by data protection law.</w:t>
      </w:r>
    </w:p>
    <w:p>
      <w:pPr>
        <w:pStyle w:val="Heading2"/>
        <w:spacing w:after="120" w:before="300"/>
      </w:pPr>
      <w:r>
        <w:rPr>
          <w:rFonts w:ascii="Calibri" w:cs="Calibri" w:eastAsia="Calibri" w:hAnsi="Calibri"/>
          <w:b/>
          <w:bCs/>
          <w:sz w:val="24"/>
          <w:szCs w:val="24"/>
        </w:rPr>
        <w:t xml:space="preserve">16. Precedence, law and courts</w:t>
      </w:r>
    </w:p>
    <w:p>
      <w:pPr>
        <w:spacing w:after="140" w:line="300"/>
      </w:pPr>
      <w:r>
        <w:rPr>
          <w:rFonts w:ascii="Calibri" w:cs="Calibri" w:eastAsia="Calibri" w:hAnsi="Calibri"/>
          <w:sz w:val="21"/>
          <w:szCs w:val="21"/>
        </w:rPr>
        <w:t xml:space="preserve">If this agreement and the Terms of Service conflict on the protection of personal data, this agreement prevails. This agreement is governed by Spanish law, and the courts named in the Terms of Service have jurisdiction over any dispute.</w:t>
      </w:r>
    </w:p>
    <w:p>
      <w:pPr>
        <w:pStyle w:val="Heading1"/>
        <w:spacing w:after="120" w:before="300"/>
      </w:pPr>
      <w:r>
        <w:rPr>
          <w:rFonts w:ascii="Calibri" w:cs="Calibri" w:eastAsia="Calibri" w:hAnsi="Calibri"/>
          <w:b/>
          <w:bCs/>
          <w:sz w:val="24"/>
          <w:szCs w:val="24"/>
        </w:rPr>
        <w:t xml:space="preserve">Annex 1. Description of the processing</w:t>
      </w:r>
    </w:p>
    <w:p>
      <w:pPr>
        <w:pStyle w:val="ListParagraph"/>
        <w:numPr>
          <w:ilvl w:val="0"/>
          <w:numId w:val="1"/>
        </w:numPr>
        <w:spacing w:after="100" w:line="300"/>
      </w:pPr>
      <w:r>
        <w:rPr>
          <w:rFonts w:ascii="Calibri" w:cs="Calibri" w:eastAsia="Calibri" w:hAnsi="Calibri"/>
          <w:sz w:val="21"/>
          <w:szCs w:val="21"/>
        </w:rPr>
        <w:t xml:space="preserve">Data subjects: the Customer's customers and users whose data appears in the Customer's documents, websites or AI system answers; the Customer's staff and representatives; the members of the Customer's workspaces.</w:t>
      </w:r>
    </w:p>
    <w:p>
      <w:pPr>
        <w:pStyle w:val="ListParagraph"/>
        <w:numPr>
          <w:ilvl w:val="0"/>
          <w:numId w:val="1"/>
        </w:numPr>
        <w:spacing w:after="100" w:line="300"/>
      </w:pPr>
      <w:r>
        <w:rPr>
          <w:rFonts w:ascii="Calibri" w:cs="Calibri" w:eastAsia="Calibri" w:hAnsi="Calibri"/>
          <w:sz w:val="21"/>
          <w:szCs w:val="21"/>
        </w:rPr>
        <w:t xml:space="preserve">Types of personal data: names, contact details, identifiers and the content of documents, questions and answers, as provided by the Customer or returned by its AI systems; the names, email addresses and activity records of workspace members. No special categories of personal data unless agreed in writing.</w:t>
      </w:r>
    </w:p>
    <w:p>
      <w:pPr>
        <w:pStyle w:val="ListParagraph"/>
        <w:numPr>
          <w:ilvl w:val="0"/>
          <w:numId w:val="1"/>
        </w:numPr>
        <w:spacing w:after="100" w:line="300"/>
      </w:pPr>
      <w:r>
        <w:rPr>
          <w:rFonts w:ascii="Calibri" w:cs="Calibri" w:eastAsia="Calibri" w:hAnsi="Calibri"/>
          <w:sz w:val="21"/>
          <w:szCs w:val="21"/>
        </w:rPr>
        <w:t xml:space="preserve">Processing operations: storage; extraction of text from documents and websites; writing test questions; sending questions to the Customer's AI systems and recording their answers, including screenshots of website chats; automated grading; report writing; expert review when ordered; export and deletion.</w:t>
      </w:r>
    </w:p>
    <w:p>
      <w:pPr>
        <w:pStyle w:val="ListParagraph"/>
        <w:numPr>
          <w:ilvl w:val="0"/>
          <w:numId w:val="1"/>
        </w:numPr>
        <w:spacing w:after="100" w:line="300"/>
      </w:pPr>
      <w:r>
        <w:rPr>
          <w:rFonts w:ascii="Calibri" w:cs="Calibri" w:eastAsia="Calibri" w:hAnsi="Calibri"/>
          <w:sz w:val="21"/>
          <w:szCs w:val="21"/>
        </w:rPr>
        <w:t xml:space="preserve">Duration: for as long as the Customer uses the service, and then until deletion as set out in the clause on deletion and return.</w:t>
      </w:r>
    </w:p>
    <w:p>
      <w:pPr>
        <w:pStyle w:val="ListParagraph"/>
        <w:numPr>
          <w:ilvl w:val="0"/>
          <w:numId w:val="1"/>
        </w:numPr>
        <w:spacing w:after="100" w:line="300"/>
      </w:pPr>
      <w:r>
        <w:rPr>
          <w:rFonts w:ascii="Calibri" w:cs="Calibri" w:eastAsia="Calibri" w:hAnsi="Calibri"/>
          <w:sz w:val="21"/>
          <w:szCs w:val="21"/>
        </w:rPr>
        <w:t xml:space="preserve">Specific retention: screenshots of website chats are deleted after seven days. Routine daily backups are retained for about a week; restricted recovery or incident archives may be retained longer for their documented purpose.</w:t>
      </w:r>
    </w:p>
    <w:p>
      <w:pPr>
        <w:pStyle w:val="Heading1"/>
        <w:spacing w:after="120" w:before="300"/>
      </w:pPr>
      <w:r>
        <w:rPr>
          <w:rFonts w:ascii="Calibri" w:cs="Calibri" w:eastAsia="Calibri" w:hAnsi="Calibri"/>
          <w:b/>
          <w:bCs/>
          <w:sz w:val="24"/>
          <w:szCs w:val="24"/>
        </w:rPr>
        <w:t xml:space="preserve">Annex 2. Technical and organizational measures</w:t>
      </w:r>
    </w:p>
    <w:p>
      <w:pPr>
        <w:pStyle w:val="ListParagraph"/>
        <w:numPr>
          <w:ilvl w:val="0"/>
          <w:numId w:val="1"/>
        </w:numPr>
        <w:spacing w:after="100" w:line="300"/>
      </w:pPr>
      <w:r>
        <w:rPr>
          <w:rFonts w:ascii="Calibri" w:cs="Calibri" w:eastAsia="Calibri" w:hAnsi="Calibri"/>
          <w:sz w:val="21"/>
          <w:szCs w:val="21"/>
        </w:rPr>
        <w:t xml:space="preserve">Hosting on servers operated by Caudals in Germany; database and file storage not reachable from the public internet.</w:t>
      </w:r>
    </w:p>
    <w:p>
      <w:pPr>
        <w:pStyle w:val="ListParagraph"/>
        <w:numPr>
          <w:ilvl w:val="0"/>
          <w:numId w:val="1"/>
        </w:numPr>
        <w:spacing w:after="100" w:line="300"/>
      </w:pPr>
      <w:r>
        <w:rPr>
          <w:rFonts w:ascii="Calibri" w:cs="Calibri" w:eastAsia="Calibri" w:hAnsi="Calibri"/>
          <w:sz w:val="21"/>
          <w:szCs w:val="21"/>
        </w:rPr>
        <w:t xml:space="preserve">Encryption in transit with TLS; application-level AES-256-GCM encryption of the credentials for the Customer's systems; encrypted backups; passwords stored only as salted hashes.</w:t>
      </w:r>
    </w:p>
    <w:p>
      <w:pPr>
        <w:pStyle w:val="ListParagraph"/>
        <w:numPr>
          <w:ilvl w:val="0"/>
          <w:numId w:val="1"/>
        </w:numPr>
        <w:spacing w:after="100" w:line="300"/>
      </w:pPr>
      <w:r>
        <w:rPr>
          <w:rFonts w:ascii="Calibri" w:cs="Calibri" w:eastAsia="Calibri" w:hAnsi="Calibri"/>
          <w:sz w:val="21"/>
          <w:szCs w:val="21"/>
        </w:rPr>
        <w:t xml:space="preserve">Separation between customers with database row-level security, a restricted application role and background jobs scoped to each workspace.</w:t>
      </w:r>
    </w:p>
    <w:p>
      <w:pPr>
        <w:pStyle w:val="ListParagraph"/>
        <w:numPr>
          <w:ilvl w:val="0"/>
          <w:numId w:val="1"/>
        </w:numPr>
        <w:spacing w:after="100" w:line="300"/>
      </w:pPr>
      <w:r>
        <w:rPr>
          <w:rFonts w:ascii="Calibri" w:cs="Calibri" w:eastAsia="Calibri" w:hAnsi="Calibri"/>
          <w:sz w:val="21"/>
          <w:szCs w:val="21"/>
        </w:rPr>
        <w:t xml:space="preserve">Role-based access for workspace members; staff access limited to platform roles and recorded in an audit log; server administration only over a private network with key-based authentication.</w:t>
      </w:r>
    </w:p>
    <w:p>
      <w:pPr>
        <w:pStyle w:val="ListParagraph"/>
        <w:numPr>
          <w:ilvl w:val="0"/>
          <w:numId w:val="1"/>
        </w:numPr>
        <w:spacing w:after="100" w:line="300"/>
      </w:pPr>
      <w:r>
        <w:rPr>
          <w:rFonts w:ascii="Calibri" w:cs="Calibri" w:eastAsia="Calibri" w:hAnsi="Calibri"/>
          <w:sz w:val="21"/>
          <w:szCs w:val="21"/>
        </w:rPr>
        <w:t xml:space="preserve">AI processing by default on a model Caudals operates; commercial AI providers only when the Customer chooses them.</w:t>
      </w:r>
    </w:p>
    <w:p>
      <w:pPr>
        <w:pStyle w:val="ListParagraph"/>
        <w:numPr>
          <w:ilvl w:val="0"/>
          <w:numId w:val="1"/>
        </w:numPr>
        <w:spacing w:after="100" w:line="300"/>
      </w:pPr>
      <w:r>
        <w:rPr>
          <w:rFonts w:ascii="Calibri" w:cs="Calibri" w:eastAsia="Calibri" w:hAnsi="Calibri"/>
          <w:sz w:val="21"/>
          <w:szCs w:val="21"/>
        </w:rPr>
        <w:t xml:space="preserve">Isolated browser workers whose traffic is restricted to public HTTPS destinations; no circumvention of CAPTCHAs or logins.</w:t>
      </w:r>
    </w:p>
    <w:p>
      <w:pPr>
        <w:pStyle w:val="ListParagraph"/>
        <w:numPr>
          <w:ilvl w:val="0"/>
          <w:numId w:val="1"/>
        </w:numPr>
        <w:spacing w:after="100" w:line="300"/>
      </w:pPr>
      <w:r>
        <w:rPr>
          <w:rFonts w:ascii="Calibri" w:cs="Calibri" w:eastAsia="Calibri" w:hAnsi="Calibri"/>
          <w:sz w:val="21"/>
          <w:szCs w:val="21"/>
        </w:rPr>
        <w:t xml:space="preserve">Rate limiting, audit logs of significant actions, and release checks for types, tests and sensitive data. Optional error monitoring excludes personal data by default.</w:t>
      </w:r>
    </w:p>
    <w:p>
      <w:pPr>
        <w:pStyle w:val="ListParagraph"/>
        <w:numPr>
          <w:ilvl w:val="0"/>
          <w:numId w:val="1"/>
        </w:numPr>
        <w:spacing w:after="100" w:line="300"/>
      </w:pPr>
      <w:r>
        <w:rPr>
          <w:rFonts w:ascii="Calibri" w:cs="Calibri" w:eastAsia="Calibri" w:hAnsi="Calibri"/>
          <w:sz w:val="21"/>
          <w:szCs w:val="21"/>
        </w:rPr>
        <w:t xml:space="preserve">A deletion process for workspaces that revokes share links and credentials and deletes content from live systems.</w:t>
      </w:r>
    </w:p>
    <w:p>
      <w:pPr>
        <w:pStyle w:val="ListParagraph"/>
        <w:numPr>
          <w:ilvl w:val="0"/>
          <w:numId w:val="1"/>
        </w:numPr>
        <w:spacing w:after="100" w:line="300"/>
      </w:pPr>
      <w:r>
        <w:rPr>
          <w:rFonts w:ascii="Calibri" w:cs="Calibri" w:eastAsia="Calibri" w:hAnsi="Calibri"/>
          <w:sz w:val="21"/>
          <w:szCs w:val="21"/>
        </w:rPr>
        <w:t xml:space="preserve">Confidentiality obligations for staff and experts; experts receive redacted material only.</w:t>
      </w:r>
    </w:p>
    <w:p>
      <w:pPr>
        <w:pStyle w:val="Heading1"/>
        <w:spacing w:after="120" w:before="300"/>
      </w:pPr>
      <w:r>
        <w:rPr>
          <w:rFonts w:ascii="Calibri" w:cs="Calibri" w:eastAsia="Calibri" w:hAnsi="Calibri"/>
          <w:b/>
          <w:bCs/>
          <w:sz w:val="24"/>
          <w:szCs w:val="24"/>
        </w:rPr>
        <w:t xml:space="preserve">Annex 3. Sub-processors</w:t>
      </w:r>
    </w:p>
    <w:p>
      <w:pPr>
        <w:spacing w:after="140" w:line="300"/>
      </w:pPr>
      <w:r>
        <w:rPr>
          <w:rFonts w:ascii="Calibri" w:cs="Calibri" w:eastAsia="Calibri" w:hAnsi="Calibri"/>
          <w:sz w:val="21"/>
          <w:szCs w:val="21"/>
        </w:rPr>
        <w:t xml:space="preserve">The sub-processors at the date of this agreement. The current list is published at https://caudals.com/en/legal/subprocessors.</w:t>
      </w:r>
    </w:p>
    <w:tbl>
      <w:tblPr>
        <w:tblW w:type="pct" w:w="100%"/>
        <w:tblBorders>
          <w:top w:val="single" w:color="DCDAD3" w:sz="4"/>
          <w:left w:val="single" w:color="DCDAD3" w:sz="4"/>
          <w:bottom w:val="single" w:color="DCDAD3" w:sz="4"/>
          <w:right w:val="single" w:color="DCDAD3" w:sz="4"/>
          <w:insideH w:val="single" w:color="DCDAD3" w:sz="4"/>
          <w:insideV w:val="single" w:color="DCDAD3" w:sz="4"/>
        </w:tblBorders>
      </w:tblPr>
      <w:tblGrid>
        <w:gridCol w:w="100"/>
        <w:gridCol w:w="100"/>
        <w:gridCol w:w="100"/>
        <w:gridCol w:w="100"/>
        <w:gridCol w:w="100"/>
      </w:tblGrid>
      <w:tr>
        <w:trPr>
          <w:tblHeader/>
        </w:trPr>
        <w:tc>
          <w:tcPr>
            <w:shd w:fill="FAFAF8" w:color="auto" w:val="clear"/>
            <w:tcMar>
              <w:top w:type="dxa" w:w="60"/>
              <w:left w:type="dxa" w:w="100"/>
              <w:bottom w:type="dxa" w:w="60"/>
              <w:right w:type="dxa" w:w="100"/>
            </w:tcMar>
          </w:tcPr>
          <w:p>
            <w:r>
              <w:rPr>
                <w:rFonts w:ascii="Calibri" w:cs="Calibri" w:eastAsia="Calibri" w:hAnsi="Calibri"/>
                <w:b/>
                <w:bCs/>
                <w:sz w:val="18"/>
                <w:szCs w:val="18"/>
              </w:rPr>
              <w:t xml:space="preserve">Provider</w:t>
            </w:r>
          </w:p>
        </w:tc>
        <w:tc>
          <w:tcPr>
            <w:shd w:fill="FAFAF8" w:color="auto" w:val="clear"/>
            <w:tcMar>
              <w:top w:type="dxa" w:w="60"/>
              <w:left w:type="dxa" w:w="100"/>
              <w:bottom w:type="dxa" w:w="60"/>
              <w:right w:type="dxa" w:w="100"/>
            </w:tcMar>
          </w:tcPr>
          <w:p>
            <w:r>
              <w:rPr>
                <w:rFonts w:ascii="Calibri" w:cs="Calibri" w:eastAsia="Calibri" w:hAnsi="Calibri"/>
                <w:b/>
                <w:bCs/>
                <w:sz w:val="18"/>
                <w:szCs w:val="18"/>
              </w:rPr>
              <w:t xml:space="preserve">What it does</w:t>
            </w:r>
          </w:p>
        </w:tc>
        <w:tc>
          <w:tcPr>
            <w:shd w:fill="FAFAF8" w:color="auto" w:val="clear"/>
            <w:tcMar>
              <w:top w:type="dxa" w:w="60"/>
              <w:left w:type="dxa" w:w="100"/>
              <w:bottom w:type="dxa" w:w="60"/>
              <w:right w:type="dxa" w:w="100"/>
            </w:tcMar>
          </w:tcPr>
          <w:p>
            <w:r>
              <w:rPr>
                <w:rFonts w:ascii="Calibri" w:cs="Calibri" w:eastAsia="Calibri" w:hAnsi="Calibri"/>
                <w:b/>
                <w:bCs/>
                <w:sz w:val="18"/>
                <w:szCs w:val="18"/>
              </w:rPr>
              <w:t xml:space="preserve">Personal data</w:t>
            </w:r>
          </w:p>
        </w:tc>
        <w:tc>
          <w:tcPr>
            <w:shd w:fill="FAFAF8" w:color="auto" w:val="clear"/>
            <w:tcMar>
              <w:top w:type="dxa" w:w="60"/>
              <w:left w:type="dxa" w:w="100"/>
              <w:bottom w:type="dxa" w:w="60"/>
              <w:right w:type="dxa" w:w="100"/>
            </w:tcMar>
          </w:tcPr>
          <w:p>
            <w:r>
              <w:rPr>
                <w:rFonts w:ascii="Calibri" w:cs="Calibri" w:eastAsia="Calibri" w:hAnsi="Calibri"/>
                <w:b/>
                <w:bCs/>
                <w:sz w:val="18"/>
                <w:szCs w:val="18"/>
              </w:rPr>
              <w:t xml:space="preserve">Location</w:t>
            </w:r>
          </w:p>
        </w:tc>
        <w:tc>
          <w:tcPr>
            <w:shd w:fill="FAFAF8" w:color="auto" w:val="clear"/>
            <w:tcMar>
              <w:top w:type="dxa" w:w="60"/>
              <w:left w:type="dxa" w:w="100"/>
              <w:bottom w:type="dxa" w:w="60"/>
              <w:right w:type="dxa" w:w="100"/>
            </w:tcMar>
          </w:tcPr>
          <w:p>
            <w:r>
              <w:rPr>
                <w:rFonts w:ascii="Calibri" w:cs="Calibri" w:eastAsia="Calibri" w:hAnsi="Calibri"/>
                <w:b/>
                <w:bCs/>
                <w:sz w:val="18"/>
                <w:szCs w:val="18"/>
              </w:rPr>
              <w:t xml:space="preserve">Workspace content</w:t>
            </w:r>
          </w:p>
        </w:tc>
      </w:tr>
      <w:tr>
        <w:tc>
          <w:tcPr>
            <w:tcMar>
              <w:top w:type="dxa" w:w="60"/>
              <w:left w:type="dxa" w:w="100"/>
              <w:bottom w:type="dxa" w:w="60"/>
              <w:right w:type="dxa" w:w="100"/>
            </w:tcMar>
          </w:tcPr>
          <w:p>
            <w:r>
              <w:rPr>
                <w:rFonts w:ascii="Calibri" w:cs="Calibri" w:eastAsia="Calibri" w:hAnsi="Calibri"/>
                <w:b w:val="false"/>
                <w:bCs w:val="false"/>
                <w:sz w:val="18"/>
                <w:szCs w:val="18"/>
              </w:rPr>
              <w:t xml:space="preserve">Hetzner Online GmbH</w:t>
            </w:r>
          </w:p>
        </w:tc>
        <w:tc>
          <w:tcPr>
            <w:tcMar>
              <w:top w:type="dxa" w:w="60"/>
              <w:left w:type="dxa" w:w="100"/>
              <w:bottom w:type="dxa" w:w="60"/>
              <w:right w:type="dxa" w:w="100"/>
            </w:tcMar>
          </w:tcPr>
          <w:p>
            <w:r>
              <w:rPr>
                <w:rFonts w:ascii="Calibri" w:cs="Calibri" w:eastAsia="Calibri" w:hAnsi="Calibri"/>
                <w:b w:val="false"/>
                <w:bCs w:val="false"/>
                <w:sz w:val="18"/>
                <w:szCs w:val="18"/>
              </w:rPr>
              <w:t xml:space="preserve">Hosting of the application, databases, file storage and backups, on servers Caudals operates</w:t>
            </w:r>
          </w:p>
        </w:tc>
        <w:tc>
          <w:tcPr>
            <w:tcMar>
              <w:top w:type="dxa" w:w="60"/>
              <w:left w:type="dxa" w:w="100"/>
              <w:bottom w:type="dxa" w:w="60"/>
              <w:right w:type="dxa" w:w="100"/>
            </w:tcMar>
          </w:tcPr>
          <w:p>
            <w:r>
              <w:rPr>
                <w:rFonts w:ascii="Calibri" w:cs="Calibri" w:eastAsia="Calibri" w:hAnsi="Calibri"/>
                <w:b w:val="false"/>
                <w:bCs w:val="false"/>
                <w:sz w:val="18"/>
                <w:szCs w:val="18"/>
              </w:rPr>
              <w:t xml:space="preserve">All data held in the Service</w:t>
            </w:r>
          </w:p>
        </w:tc>
        <w:tc>
          <w:tcPr>
            <w:tcMar>
              <w:top w:type="dxa" w:w="60"/>
              <w:left w:type="dxa" w:w="100"/>
              <w:bottom w:type="dxa" w:w="60"/>
              <w:right w:type="dxa" w:w="100"/>
            </w:tcMar>
          </w:tcPr>
          <w:p>
            <w:r>
              <w:rPr>
                <w:rFonts w:ascii="Calibri" w:cs="Calibri" w:eastAsia="Calibri" w:hAnsi="Calibri"/>
                <w:b w:val="false"/>
                <w:bCs w:val="false"/>
                <w:sz w:val="18"/>
                <w:szCs w:val="18"/>
              </w:rPr>
              <w:t xml:space="preserve">Germany (EU)</w:t>
            </w:r>
          </w:p>
        </w:tc>
        <w:tc>
          <w:tcPr>
            <w:tcMar>
              <w:top w:type="dxa" w:w="60"/>
              <w:left w:type="dxa" w:w="100"/>
              <w:bottom w:type="dxa" w:w="60"/>
              <w:right w:type="dxa" w:w="100"/>
            </w:tcMar>
          </w:tcPr>
          <w:p>
            <w:r>
              <w:rPr>
                <w:rFonts w:ascii="Calibri" w:cs="Calibri" w:eastAsia="Calibri" w:hAnsi="Calibri"/>
                <w:b w:val="false"/>
                <w:bCs w:val="false"/>
                <w:sz w:val="18"/>
                <w:szCs w:val="18"/>
              </w:rPr>
              <w:t xml:space="preserve">Yes</w:t>
            </w:r>
          </w:p>
        </w:tc>
      </w:tr>
      <w:tr>
        <w:tc>
          <w:tcPr>
            <w:tcMar>
              <w:top w:type="dxa" w:w="60"/>
              <w:left w:type="dxa" w:w="100"/>
              <w:bottom w:type="dxa" w:w="60"/>
              <w:right w:type="dxa" w:w="100"/>
            </w:tcMar>
          </w:tcPr>
          <w:p>
            <w:r>
              <w:rPr>
                <w:rFonts w:ascii="Calibri" w:cs="Calibri" w:eastAsia="Calibri" w:hAnsi="Calibri"/>
                <w:b w:val="false"/>
                <w:bCs w:val="false"/>
                <w:sz w:val="18"/>
                <w:szCs w:val="18"/>
              </w:rPr>
              <w:t xml:space="preserve">Cloudflare, Inc.</w:t>
            </w:r>
          </w:p>
        </w:tc>
        <w:tc>
          <w:tcPr>
            <w:tcMar>
              <w:top w:type="dxa" w:w="60"/>
              <w:left w:type="dxa" w:w="100"/>
              <w:bottom w:type="dxa" w:w="60"/>
              <w:right w:type="dxa" w:w="100"/>
            </w:tcMar>
          </w:tcPr>
          <w:p>
            <w:r>
              <w:rPr>
                <w:rFonts w:ascii="Calibri" w:cs="Calibri" w:eastAsia="Calibri" w:hAnsi="Calibri"/>
                <w:b w:val="false"/>
                <w:bCs w:val="false"/>
                <w:sz w:val="18"/>
                <w:szCs w:val="18"/>
              </w:rPr>
              <w:t xml:space="preserve">Domain name service, encryption in transit and protection of our websites against attacks</w:t>
            </w:r>
          </w:p>
        </w:tc>
        <w:tc>
          <w:tcPr>
            <w:tcMar>
              <w:top w:type="dxa" w:w="60"/>
              <w:left w:type="dxa" w:w="100"/>
              <w:bottom w:type="dxa" w:w="60"/>
              <w:right w:type="dxa" w:w="100"/>
            </w:tcMar>
          </w:tcPr>
          <w:p>
            <w:r>
              <w:rPr>
                <w:rFonts w:ascii="Calibri" w:cs="Calibri" w:eastAsia="Calibri" w:hAnsi="Calibri"/>
                <w:b w:val="false"/>
                <w:bCs w:val="false"/>
                <w:sz w:val="18"/>
                <w:szCs w:val="18"/>
              </w:rPr>
              <w:t xml:space="preserve">Network traffic, including IP addresses and requests</w:t>
            </w:r>
          </w:p>
        </w:tc>
        <w:tc>
          <w:tcPr>
            <w:tcMar>
              <w:top w:type="dxa" w:w="60"/>
              <w:left w:type="dxa" w:w="100"/>
              <w:bottom w:type="dxa" w:w="60"/>
              <w:right w:type="dxa" w:w="100"/>
            </w:tcMar>
          </w:tcPr>
          <w:p>
            <w:r>
              <w:rPr>
                <w:rFonts w:ascii="Calibri" w:cs="Calibri" w:eastAsia="Calibri" w:hAnsi="Calibri"/>
                <w:b w:val="false"/>
                <w:bCs w:val="false"/>
                <w:sz w:val="18"/>
                <w:szCs w:val="18"/>
              </w:rPr>
              <w:t xml:space="preserve">Global network, United States company</w:t>
            </w:r>
          </w:p>
        </w:tc>
        <w:tc>
          <w:tcPr>
            <w:tcMar>
              <w:top w:type="dxa" w:w="60"/>
              <w:left w:type="dxa" w:w="100"/>
              <w:bottom w:type="dxa" w:w="60"/>
              <w:right w:type="dxa" w:w="100"/>
            </w:tcMar>
          </w:tcPr>
          <w:p>
            <w:r>
              <w:rPr>
                <w:rFonts w:ascii="Calibri" w:cs="Calibri" w:eastAsia="Calibri" w:hAnsi="Calibri"/>
                <w:b w:val="false"/>
                <w:bCs w:val="false"/>
                <w:sz w:val="18"/>
                <w:szCs w:val="18"/>
              </w:rPr>
              <w:t xml:space="preserve">In transit only</w:t>
            </w:r>
          </w:p>
        </w:tc>
      </w:tr>
      <w:tr>
        <w:tc>
          <w:tcPr>
            <w:tcMar>
              <w:top w:type="dxa" w:w="60"/>
              <w:left w:type="dxa" w:w="100"/>
              <w:bottom w:type="dxa" w:w="60"/>
              <w:right w:type="dxa" w:w="100"/>
            </w:tcMar>
          </w:tcPr>
          <w:p>
            <w:r>
              <w:rPr>
                <w:rFonts w:ascii="Calibri" w:cs="Calibri" w:eastAsia="Calibri" w:hAnsi="Calibri"/>
                <w:b w:val="false"/>
                <w:bCs w:val="false"/>
                <w:sz w:val="18"/>
                <w:szCs w:val="18"/>
              </w:rPr>
              <w:t xml:space="preserve">Amazon Web Services EMEA SARL</w:t>
            </w:r>
          </w:p>
        </w:tc>
        <w:tc>
          <w:tcPr>
            <w:tcMar>
              <w:top w:type="dxa" w:w="60"/>
              <w:left w:type="dxa" w:w="100"/>
              <w:bottom w:type="dxa" w:w="60"/>
              <w:right w:type="dxa" w:w="100"/>
            </w:tcMar>
          </w:tcPr>
          <w:p>
            <w:r>
              <w:rPr>
                <w:rFonts w:ascii="Calibri" w:cs="Calibri" w:eastAsia="Calibri" w:hAnsi="Calibri"/>
                <w:b w:val="false"/>
                <w:bCs w:val="false"/>
                <w:sz w:val="18"/>
                <w:szCs w:val="18"/>
              </w:rPr>
              <w:t xml:space="preserve">Hosting of our self-hosted website analytics and our sales tools, on a server Caudals operates</w:t>
            </w:r>
          </w:p>
        </w:tc>
        <w:tc>
          <w:tcPr>
            <w:tcMar>
              <w:top w:type="dxa" w:w="60"/>
              <w:left w:type="dxa" w:w="100"/>
              <w:bottom w:type="dxa" w:w="60"/>
              <w:right w:type="dxa" w:w="100"/>
            </w:tcMar>
          </w:tcPr>
          <w:p>
            <w:r>
              <w:rPr>
                <w:rFonts w:ascii="Calibri" w:cs="Calibri" w:eastAsia="Calibri" w:hAnsi="Calibri"/>
                <w:b w:val="false"/>
                <w:bCs w:val="false"/>
                <w:sz w:val="18"/>
                <w:szCs w:val="18"/>
              </w:rPr>
              <w:t xml:space="preserve">Website analytics, with your consent, and business contact details</w:t>
            </w:r>
          </w:p>
        </w:tc>
        <w:tc>
          <w:tcPr>
            <w:tcMar>
              <w:top w:type="dxa" w:w="60"/>
              <w:left w:type="dxa" w:w="100"/>
              <w:bottom w:type="dxa" w:w="60"/>
              <w:right w:type="dxa" w:w="100"/>
            </w:tcMar>
          </w:tcPr>
          <w:p>
            <w:r>
              <w:rPr>
                <w:rFonts w:ascii="Calibri" w:cs="Calibri" w:eastAsia="Calibri" w:hAnsi="Calibri"/>
                <w:b w:val="false"/>
                <w:bCs w:val="false"/>
                <w:sz w:val="18"/>
                <w:szCs w:val="18"/>
              </w:rPr>
              <w:t xml:space="preserve">Germany (EU)</w:t>
            </w:r>
          </w:p>
        </w:tc>
        <w:tc>
          <w:tcPr>
            <w:tcMar>
              <w:top w:type="dxa" w:w="60"/>
              <w:left w:type="dxa" w:w="100"/>
              <w:bottom w:type="dxa" w:w="60"/>
              <w:right w:type="dxa" w:w="100"/>
            </w:tcMar>
          </w:tcPr>
          <w:p>
            <w:r>
              <w:rPr>
                <w:rFonts w:ascii="Calibri" w:cs="Calibri" w:eastAsia="Calibri" w:hAnsi="Calibri"/>
                <w:b w:val="false"/>
                <w:bCs w:val="false"/>
                <w:sz w:val="18"/>
                <w:szCs w:val="18"/>
              </w:rPr>
              <w:t xml:space="preserve">No</w:t>
            </w:r>
          </w:p>
        </w:tc>
      </w:tr>
      <w:tr>
        <w:tc>
          <w:tcPr>
            <w:tcMar>
              <w:top w:type="dxa" w:w="60"/>
              <w:left w:type="dxa" w:w="100"/>
              <w:bottom w:type="dxa" w:w="60"/>
              <w:right w:type="dxa" w:w="100"/>
            </w:tcMar>
          </w:tcPr>
          <w:p>
            <w:r>
              <w:rPr>
                <w:rFonts w:ascii="Calibri" w:cs="Calibri" w:eastAsia="Calibri" w:hAnsi="Calibri"/>
                <w:b w:val="false"/>
                <w:bCs w:val="false"/>
                <w:sz w:val="18"/>
                <w:szCs w:val="18"/>
              </w:rPr>
              <w:t xml:space="preserve">Resend</w:t>
            </w:r>
          </w:p>
        </w:tc>
        <w:tc>
          <w:tcPr>
            <w:tcMar>
              <w:top w:type="dxa" w:w="60"/>
              <w:left w:type="dxa" w:w="100"/>
              <w:bottom w:type="dxa" w:w="60"/>
              <w:right w:type="dxa" w:w="100"/>
            </w:tcMar>
          </w:tcPr>
          <w:p>
            <w:r>
              <w:rPr>
                <w:rFonts w:ascii="Calibri" w:cs="Calibri" w:eastAsia="Calibri" w:hAnsi="Calibri"/>
                <w:b w:val="false"/>
                <w:bCs w:val="false"/>
                <w:sz w:val="18"/>
                <w:szCs w:val="18"/>
              </w:rPr>
              <w:t xml:space="preserve">Delivery of account, notification and newsletter emails</w:t>
            </w:r>
          </w:p>
        </w:tc>
        <w:tc>
          <w:tcPr>
            <w:tcMar>
              <w:top w:type="dxa" w:w="60"/>
              <w:left w:type="dxa" w:w="100"/>
              <w:bottom w:type="dxa" w:w="60"/>
              <w:right w:type="dxa" w:w="100"/>
            </w:tcMar>
          </w:tcPr>
          <w:p>
            <w:r>
              <w:rPr>
                <w:rFonts w:ascii="Calibri" w:cs="Calibri" w:eastAsia="Calibri" w:hAnsi="Calibri"/>
                <w:b w:val="false"/>
                <w:bCs w:val="false"/>
                <w:sz w:val="18"/>
                <w:szCs w:val="18"/>
              </w:rPr>
              <w:t xml:space="preserve">Email addresses and email content</w:t>
            </w:r>
          </w:p>
        </w:tc>
        <w:tc>
          <w:tcPr>
            <w:tcMar>
              <w:top w:type="dxa" w:w="60"/>
              <w:left w:type="dxa" w:w="100"/>
              <w:bottom w:type="dxa" w:w="60"/>
              <w:right w:type="dxa" w:w="100"/>
            </w:tcMar>
          </w:tcPr>
          <w:p>
            <w:r>
              <w:rPr>
                <w:rFonts w:ascii="Calibri" w:cs="Calibri" w:eastAsia="Calibri" w:hAnsi="Calibri"/>
                <w:b w:val="false"/>
                <w:bCs w:val="false"/>
                <w:sz w:val="18"/>
                <w:szCs w:val="18"/>
              </w:rPr>
              <w:t xml:space="preserve">United States</w:t>
            </w:r>
          </w:p>
        </w:tc>
        <w:tc>
          <w:tcPr>
            <w:tcMar>
              <w:top w:type="dxa" w:w="60"/>
              <w:left w:type="dxa" w:w="100"/>
              <w:bottom w:type="dxa" w:w="60"/>
              <w:right w:type="dxa" w:w="100"/>
            </w:tcMar>
          </w:tcPr>
          <w:p>
            <w:r>
              <w:rPr>
                <w:rFonts w:ascii="Calibri" w:cs="Calibri" w:eastAsia="Calibri" w:hAnsi="Calibri"/>
                <w:b w:val="false"/>
                <w:bCs w:val="false"/>
                <w:sz w:val="18"/>
                <w:szCs w:val="18"/>
              </w:rPr>
              <w:t xml:space="preserve">Only what a notification contains, such as the name of an evaluation</w:t>
            </w:r>
          </w:p>
        </w:tc>
      </w:tr>
      <w:tr>
        <w:tc>
          <w:tcPr>
            <w:tcMar>
              <w:top w:type="dxa" w:w="60"/>
              <w:left w:type="dxa" w:w="100"/>
              <w:bottom w:type="dxa" w:w="60"/>
              <w:right w:type="dxa" w:w="100"/>
            </w:tcMar>
          </w:tcPr>
          <w:p>
            <w:r>
              <w:rPr>
                <w:rFonts w:ascii="Calibri" w:cs="Calibri" w:eastAsia="Calibri" w:hAnsi="Calibri"/>
                <w:b w:val="false"/>
                <w:bCs w:val="false"/>
                <w:sz w:val="18"/>
                <w:szCs w:val="18"/>
              </w:rPr>
              <w:t xml:space="preserve">Sentry (Functional Software, Inc.)</w:t>
            </w:r>
          </w:p>
        </w:tc>
        <w:tc>
          <w:tcPr>
            <w:tcMar>
              <w:top w:type="dxa" w:w="60"/>
              <w:left w:type="dxa" w:w="100"/>
              <w:bottom w:type="dxa" w:w="60"/>
              <w:right w:type="dxa" w:w="100"/>
            </w:tcMar>
          </w:tcPr>
          <w:p>
            <w:r>
              <w:rPr>
                <w:rFonts w:ascii="Calibri" w:cs="Calibri" w:eastAsia="Calibri" w:hAnsi="Calibri"/>
                <w:b w:val="false"/>
                <w:bCs w:val="false"/>
                <w:sz w:val="18"/>
                <w:szCs w:val="18"/>
              </w:rPr>
              <w:t xml:space="preserve">Error monitoring for the application</w:t>
            </w:r>
          </w:p>
        </w:tc>
        <w:tc>
          <w:tcPr>
            <w:tcMar>
              <w:top w:type="dxa" w:w="60"/>
              <w:left w:type="dxa" w:w="100"/>
              <w:bottom w:type="dxa" w:w="60"/>
              <w:right w:type="dxa" w:w="100"/>
            </w:tcMar>
          </w:tcPr>
          <w:p>
            <w:r>
              <w:rPr>
                <w:rFonts w:ascii="Calibri" w:cs="Calibri" w:eastAsia="Calibri" w:hAnsi="Calibri"/>
                <w:b w:val="false"/>
                <w:bCs w:val="false"/>
                <w:sz w:val="18"/>
                <w:szCs w:val="18"/>
              </w:rPr>
              <w:t xml:space="preserve">Technical error reports, configured to exclude personal data by default</w:t>
            </w:r>
          </w:p>
        </w:tc>
        <w:tc>
          <w:tcPr>
            <w:tcMar>
              <w:top w:type="dxa" w:w="60"/>
              <w:left w:type="dxa" w:w="100"/>
              <w:bottom w:type="dxa" w:w="60"/>
              <w:right w:type="dxa" w:w="100"/>
            </w:tcMar>
          </w:tcPr>
          <w:p>
            <w:r>
              <w:rPr>
                <w:rFonts w:ascii="Calibri" w:cs="Calibri" w:eastAsia="Calibri" w:hAnsi="Calibri"/>
                <w:b w:val="false"/>
                <w:bCs w:val="false"/>
                <w:sz w:val="18"/>
                <w:szCs w:val="18"/>
              </w:rPr>
              <w:t xml:space="preserve">EU data region (Germany)</w:t>
            </w:r>
          </w:p>
        </w:tc>
        <w:tc>
          <w:tcPr>
            <w:tcMar>
              <w:top w:type="dxa" w:w="60"/>
              <w:left w:type="dxa" w:w="100"/>
              <w:bottom w:type="dxa" w:w="60"/>
              <w:right w:type="dxa" w:w="100"/>
            </w:tcMar>
          </w:tcPr>
          <w:p>
            <w:r>
              <w:rPr>
                <w:rFonts w:ascii="Calibri" w:cs="Calibri" w:eastAsia="Calibri" w:hAnsi="Calibri"/>
                <w:b w:val="false"/>
                <w:bCs w:val="false"/>
                <w:sz w:val="18"/>
                <w:szCs w:val="18"/>
              </w:rPr>
              <w:t xml:space="preserve">No</w:t>
            </w:r>
          </w:p>
        </w:tc>
      </w:tr>
      <w:tr>
        <w:tc>
          <w:tcPr>
            <w:tcMar>
              <w:top w:type="dxa" w:w="60"/>
              <w:left w:type="dxa" w:w="100"/>
              <w:bottom w:type="dxa" w:w="60"/>
              <w:right w:type="dxa" w:w="100"/>
            </w:tcMar>
          </w:tcPr>
          <w:p>
            <w:r>
              <w:rPr>
                <w:rFonts w:ascii="Calibri" w:cs="Calibri" w:eastAsia="Calibri" w:hAnsi="Calibri"/>
                <w:b w:val="false"/>
                <w:bCs w:val="false"/>
                <w:sz w:val="18"/>
                <w:szCs w:val="18"/>
              </w:rPr>
              <w:t xml:space="preserve">Stripe Payments Europe, Ltd.</w:t>
            </w:r>
          </w:p>
        </w:tc>
        <w:tc>
          <w:tcPr>
            <w:tcMar>
              <w:top w:type="dxa" w:w="60"/>
              <w:left w:type="dxa" w:w="100"/>
              <w:bottom w:type="dxa" w:w="60"/>
              <w:right w:type="dxa" w:w="100"/>
            </w:tcMar>
          </w:tcPr>
          <w:p>
            <w:r>
              <w:rPr>
                <w:rFonts w:ascii="Calibri" w:cs="Calibri" w:eastAsia="Calibri" w:hAnsi="Calibri"/>
                <w:b w:val="false"/>
                <w:bCs w:val="false"/>
                <w:sz w:val="18"/>
                <w:szCs w:val="18"/>
              </w:rPr>
              <w:t xml:space="preserve">Card payments for credit purchases and fraud screening</w:t>
            </w:r>
          </w:p>
        </w:tc>
        <w:tc>
          <w:tcPr>
            <w:tcMar>
              <w:top w:type="dxa" w:w="60"/>
              <w:left w:type="dxa" w:w="100"/>
              <w:bottom w:type="dxa" w:w="60"/>
              <w:right w:type="dxa" w:w="100"/>
            </w:tcMar>
          </w:tcPr>
          <w:p>
            <w:r>
              <w:rPr>
                <w:rFonts w:ascii="Calibri" w:cs="Calibri" w:eastAsia="Calibri" w:hAnsi="Calibri"/>
                <w:b w:val="false"/>
                <w:bCs w:val="false"/>
                <w:sz w:val="18"/>
                <w:szCs w:val="18"/>
              </w:rPr>
              <w:t xml:space="preserve">Company and billing contact details, payment details</w:t>
            </w:r>
          </w:p>
        </w:tc>
        <w:tc>
          <w:tcPr>
            <w:tcMar>
              <w:top w:type="dxa" w:w="60"/>
              <w:left w:type="dxa" w:w="100"/>
              <w:bottom w:type="dxa" w:w="60"/>
              <w:right w:type="dxa" w:w="100"/>
            </w:tcMar>
          </w:tcPr>
          <w:p>
            <w:r>
              <w:rPr>
                <w:rFonts w:ascii="Calibri" w:cs="Calibri" w:eastAsia="Calibri" w:hAnsi="Calibri"/>
                <w:b w:val="false"/>
                <w:bCs w:val="false"/>
                <w:sz w:val="18"/>
                <w:szCs w:val="18"/>
              </w:rPr>
              <w:t xml:space="preserve">Ireland (EU), with processing in the United States</w:t>
            </w:r>
          </w:p>
        </w:tc>
        <w:tc>
          <w:tcPr>
            <w:tcMar>
              <w:top w:type="dxa" w:w="60"/>
              <w:left w:type="dxa" w:w="100"/>
              <w:bottom w:type="dxa" w:w="60"/>
              <w:right w:type="dxa" w:w="100"/>
            </w:tcMar>
          </w:tcPr>
          <w:p>
            <w:r>
              <w:rPr>
                <w:rFonts w:ascii="Calibri" w:cs="Calibri" w:eastAsia="Calibri" w:hAnsi="Calibri"/>
                <w:b w:val="false"/>
                <w:bCs w:val="false"/>
                <w:sz w:val="18"/>
                <w:szCs w:val="18"/>
              </w:rPr>
              <w:t xml:space="preserve">No</w:t>
            </w:r>
          </w:p>
        </w:tc>
      </w:tr>
      <w:tr>
        <w:tc>
          <w:tcPr>
            <w:tcMar>
              <w:top w:type="dxa" w:w="60"/>
              <w:left w:type="dxa" w:w="100"/>
              <w:bottom w:type="dxa" w:w="60"/>
              <w:right w:type="dxa" w:w="100"/>
            </w:tcMar>
          </w:tcPr>
          <w:p>
            <w:r>
              <w:rPr>
                <w:rFonts w:ascii="Calibri" w:cs="Calibri" w:eastAsia="Calibri" w:hAnsi="Calibri"/>
                <w:b w:val="false"/>
                <w:bCs w:val="false"/>
                <w:sz w:val="18"/>
                <w:szCs w:val="18"/>
              </w:rPr>
              <w:t xml:space="preserve">Google (Gemini API)</w:t>
            </w:r>
          </w:p>
        </w:tc>
        <w:tc>
          <w:tcPr>
            <w:tcMar>
              <w:top w:type="dxa" w:w="60"/>
              <w:left w:type="dxa" w:w="100"/>
              <w:bottom w:type="dxa" w:w="60"/>
              <w:right w:type="dxa" w:w="100"/>
            </w:tcMar>
          </w:tcPr>
          <w:p>
            <w:r>
              <w:rPr>
                <w:rFonts w:ascii="Calibri" w:cs="Calibri" w:eastAsia="Calibri" w:hAnsi="Calibri"/>
                <w:b w:val="false"/>
                <w:bCs w:val="false"/>
                <w:sz w:val="18"/>
                <w:szCs w:val="18"/>
              </w:rPr>
              <w:t xml:space="preserve">AI model: fallback for the free public test when our own model is busy, and a model your workspace can choose</w:t>
            </w:r>
          </w:p>
        </w:tc>
        <w:tc>
          <w:tcPr>
            <w:tcMar>
              <w:top w:type="dxa" w:w="60"/>
              <w:left w:type="dxa" w:w="100"/>
              <w:bottom w:type="dxa" w:w="60"/>
              <w:right w:type="dxa" w:w="100"/>
            </w:tcMar>
          </w:tcPr>
          <w:p>
            <w:r>
              <w:rPr>
                <w:rFonts w:ascii="Calibri" w:cs="Calibri" w:eastAsia="Calibri" w:hAnsi="Calibri"/>
                <w:b w:val="false"/>
                <w:bCs w:val="false"/>
                <w:sz w:val="18"/>
                <w:szCs w:val="18"/>
              </w:rPr>
              <w:t xml:space="preserve">Public page text, questions and answers from the public test; workspace content only if your workspace chooses a Google model</w:t>
            </w:r>
          </w:p>
        </w:tc>
        <w:tc>
          <w:tcPr>
            <w:tcMar>
              <w:top w:type="dxa" w:w="60"/>
              <w:left w:type="dxa" w:w="100"/>
              <w:bottom w:type="dxa" w:w="60"/>
              <w:right w:type="dxa" w:w="100"/>
            </w:tcMar>
          </w:tcPr>
          <w:p>
            <w:r>
              <w:rPr>
                <w:rFonts w:ascii="Calibri" w:cs="Calibri" w:eastAsia="Calibri" w:hAnsi="Calibri"/>
                <w:b w:val="false"/>
                <w:bCs w:val="false"/>
                <w:sz w:val="18"/>
                <w:szCs w:val="18"/>
              </w:rPr>
              <w:t xml:space="preserve">United States and other countries</w:t>
            </w:r>
          </w:p>
        </w:tc>
        <w:tc>
          <w:tcPr>
            <w:tcMar>
              <w:top w:type="dxa" w:w="60"/>
              <w:left w:type="dxa" w:w="100"/>
              <w:bottom w:type="dxa" w:w="60"/>
              <w:right w:type="dxa" w:w="100"/>
            </w:tcMar>
          </w:tcPr>
          <w:p>
            <w:r>
              <w:rPr>
                <w:rFonts w:ascii="Calibri" w:cs="Calibri" w:eastAsia="Calibri" w:hAnsi="Calibri"/>
                <w:b w:val="false"/>
                <w:bCs w:val="false"/>
                <w:sz w:val="18"/>
                <w:szCs w:val="18"/>
              </w:rPr>
              <w:t xml:space="preserve">Only if your workspace chooses it</w:t>
            </w:r>
          </w:p>
        </w:tc>
      </w:tr>
      <w:tr>
        <w:tc>
          <w:tcPr>
            <w:tcMar>
              <w:top w:type="dxa" w:w="60"/>
              <w:left w:type="dxa" w:w="100"/>
              <w:bottom w:type="dxa" w:w="60"/>
              <w:right w:type="dxa" w:w="100"/>
            </w:tcMar>
          </w:tcPr>
          <w:p>
            <w:r>
              <w:rPr>
                <w:rFonts w:ascii="Calibri" w:cs="Calibri" w:eastAsia="Calibri" w:hAnsi="Calibri"/>
                <w:b w:val="false"/>
                <w:bCs w:val="false"/>
                <w:sz w:val="18"/>
                <w:szCs w:val="18"/>
              </w:rPr>
              <w:t xml:space="preserve">OpenRouter, Inc.</w:t>
            </w:r>
          </w:p>
        </w:tc>
        <w:tc>
          <w:tcPr>
            <w:tcMar>
              <w:top w:type="dxa" w:w="60"/>
              <w:left w:type="dxa" w:w="100"/>
              <w:bottom w:type="dxa" w:w="60"/>
              <w:right w:type="dxa" w:w="100"/>
            </w:tcMar>
          </w:tcPr>
          <w:p>
            <w:r>
              <w:rPr>
                <w:rFonts w:ascii="Calibri" w:cs="Calibri" w:eastAsia="Calibri" w:hAnsi="Calibri"/>
                <w:b w:val="false"/>
                <w:bCs w:val="false"/>
                <w:sz w:val="18"/>
                <w:szCs w:val="18"/>
              </w:rPr>
              <w:t xml:space="preserve">Access to AI models from several providers, which receive the request: fallback for the free public test, and models your workspace can choose</w:t>
            </w:r>
          </w:p>
        </w:tc>
        <w:tc>
          <w:tcPr>
            <w:tcMar>
              <w:top w:type="dxa" w:w="60"/>
              <w:left w:type="dxa" w:w="100"/>
              <w:bottom w:type="dxa" w:w="60"/>
              <w:right w:type="dxa" w:w="100"/>
            </w:tcMar>
          </w:tcPr>
          <w:p>
            <w:r>
              <w:rPr>
                <w:rFonts w:ascii="Calibri" w:cs="Calibri" w:eastAsia="Calibri" w:hAnsi="Calibri"/>
                <w:b w:val="false"/>
                <w:bCs w:val="false"/>
                <w:sz w:val="18"/>
                <w:szCs w:val="18"/>
              </w:rPr>
              <w:t xml:space="preserve">Public page text, questions and answers from the public test; workspace content only if your workspace chooses a model through OpenRouter</w:t>
            </w:r>
          </w:p>
        </w:tc>
        <w:tc>
          <w:tcPr>
            <w:tcMar>
              <w:top w:type="dxa" w:w="60"/>
              <w:left w:type="dxa" w:w="100"/>
              <w:bottom w:type="dxa" w:w="60"/>
              <w:right w:type="dxa" w:w="100"/>
            </w:tcMar>
          </w:tcPr>
          <w:p>
            <w:r>
              <w:rPr>
                <w:rFonts w:ascii="Calibri" w:cs="Calibri" w:eastAsia="Calibri" w:hAnsi="Calibri"/>
                <w:b w:val="false"/>
                <w:bCs w:val="false"/>
                <w:sz w:val="18"/>
                <w:szCs w:val="18"/>
              </w:rPr>
              <w:t xml:space="preserve">United States and other countries</w:t>
            </w:r>
          </w:p>
        </w:tc>
        <w:tc>
          <w:tcPr>
            <w:tcMar>
              <w:top w:type="dxa" w:w="60"/>
              <w:left w:type="dxa" w:w="100"/>
              <w:bottom w:type="dxa" w:w="60"/>
              <w:right w:type="dxa" w:w="100"/>
            </w:tcMar>
          </w:tcPr>
          <w:p>
            <w:r>
              <w:rPr>
                <w:rFonts w:ascii="Calibri" w:cs="Calibri" w:eastAsia="Calibri" w:hAnsi="Calibri"/>
                <w:b w:val="false"/>
                <w:bCs w:val="false"/>
                <w:sz w:val="18"/>
                <w:szCs w:val="18"/>
              </w:rPr>
              <w:t xml:space="preserve">Only if your workspace chooses it</w:t>
            </w:r>
          </w:p>
        </w:tc>
      </w:tr>
      <w:tr>
        <w:tc>
          <w:tcPr>
            <w:tcMar>
              <w:top w:type="dxa" w:w="60"/>
              <w:left w:type="dxa" w:w="100"/>
              <w:bottom w:type="dxa" w:w="60"/>
              <w:right w:type="dxa" w:w="100"/>
            </w:tcMar>
          </w:tcPr>
          <w:p>
            <w:r>
              <w:rPr>
                <w:rFonts w:ascii="Calibri" w:cs="Calibri" w:eastAsia="Calibri" w:hAnsi="Calibri"/>
                <w:b w:val="false"/>
                <w:bCs w:val="false"/>
                <w:sz w:val="18"/>
                <w:szCs w:val="18"/>
              </w:rPr>
              <w:t xml:space="preserve">NVIDIA (API catalog)</w:t>
            </w:r>
          </w:p>
        </w:tc>
        <w:tc>
          <w:tcPr>
            <w:tcMar>
              <w:top w:type="dxa" w:w="60"/>
              <w:left w:type="dxa" w:w="100"/>
              <w:bottom w:type="dxa" w:w="60"/>
              <w:right w:type="dxa" w:w="100"/>
            </w:tcMar>
          </w:tcPr>
          <w:p>
            <w:r>
              <w:rPr>
                <w:rFonts w:ascii="Calibri" w:cs="Calibri" w:eastAsia="Calibri" w:hAnsi="Calibri"/>
                <w:b w:val="false"/>
                <w:bCs w:val="false"/>
                <w:sz w:val="18"/>
                <w:szCs w:val="18"/>
              </w:rPr>
              <w:t xml:space="preserve">AI models your workspace can choose</w:t>
            </w:r>
          </w:p>
        </w:tc>
        <w:tc>
          <w:tcPr>
            <w:tcMar>
              <w:top w:type="dxa" w:w="60"/>
              <w:left w:type="dxa" w:w="100"/>
              <w:bottom w:type="dxa" w:w="60"/>
              <w:right w:type="dxa" w:w="100"/>
            </w:tcMar>
          </w:tcPr>
          <w:p>
            <w:r>
              <w:rPr>
                <w:rFonts w:ascii="Calibri" w:cs="Calibri" w:eastAsia="Calibri" w:hAnsi="Calibri"/>
                <w:b w:val="false"/>
                <w:bCs w:val="false"/>
                <w:sz w:val="18"/>
                <w:szCs w:val="18"/>
              </w:rPr>
              <w:t xml:space="preserve">Workspace content, only if your workspace chooses an NVIDIA-hosted model</w:t>
            </w:r>
          </w:p>
        </w:tc>
        <w:tc>
          <w:tcPr>
            <w:tcMar>
              <w:top w:type="dxa" w:w="60"/>
              <w:left w:type="dxa" w:w="100"/>
              <w:bottom w:type="dxa" w:w="60"/>
              <w:right w:type="dxa" w:w="100"/>
            </w:tcMar>
          </w:tcPr>
          <w:p>
            <w:r>
              <w:rPr>
                <w:rFonts w:ascii="Calibri" w:cs="Calibri" w:eastAsia="Calibri" w:hAnsi="Calibri"/>
                <w:b w:val="false"/>
                <w:bCs w:val="false"/>
                <w:sz w:val="18"/>
                <w:szCs w:val="18"/>
              </w:rPr>
              <w:t xml:space="preserve">United States</w:t>
            </w:r>
          </w:p>
        </w:tc>
        <w:tc>
          <w:tcPr>
            <w:tcMar>
              <w:top w:type="dxa" w:w="60"/>
              <w:left w:type="dxa" w:w="100"/>
              <w:bottom w:type="dxa" w:w="60"/>
              <w:right w:type="dxa" w:w="100"/>
            </w:tcMar>
          </w:tcPr>
          <w:p>
            <w:r>
              <w:rPr>
                <w:rFonts w:ascii="Calibri" w:cs="Calibri" w:eastAsia="Calibri" w:hAnsi="Calibri"/>
                <w:b w:val="false"/>
                <w:bCs w:val="false"/>
                <w:sz w:val="18"/>
                <w:szCs w:val="18"/>
              </w:rPr>
              <w:t xml:space="preserve">Only if your workspace chooses it</w:t>
            </w:r>
          </w:p>
        </w:tc>
      </w:tr>
      <w:tr>
        <w:tc>
          <w:tcPr>
            <w:tcMar>
              <w:top w:type="dxa" w:w="60"/>
              <w:left w:type="dxa" w:w="100"/>
              <w:bottom w:type="dxa" w:w="60"/>
              <w:right w:type="dxa" w:w="100"/>
            </w:tcMar>
          </w:tcPr>
          <w:p>
            <w:r>
              <w:rPr>
                <w:rFonts w:ascii="Calibri" w:cs="Calibri" w:eastAsia="Calibri" w:hAnsi="Calibri"/>
                <w:b w:val="false"/>
                <w:bCs w:val="false"/>
                <w:sz w:val="18"/>
                <w:szCs w:val="18"/>
              </w:rPr>
              <w:t xml:space="preserve">Cal.com, Inc.</w:t>
            </w:r>
          </w:p>
        </w:tc>
        <w:tc>
          <w:tcPr>
            <w:tcMar>
              <w:top w:type="dxa" w:w="60"/>
              <w:left w:type="dxa" w:w="100"/>
              <w:bottom w:type="dxa" w:w="60"/>
              <w:right w:type="dxa" w:w="100"/>
            </w:tcMar>
          </w:tcPr>
          <w:p>
            <w:r>
              <w:rPr>
                <w:rFonts w:ascii="Calibri" w:cs="Calibri" w:eastAsia="Calibri" w:hAnsi="Calibri"/>
                <w:b w:val="false"/>
                <w:bCs w:val="false"/>
                <w:sz w:val="18"/>
                <w:szCs w:val="18"/>
              </w:rPr>
              <w:t xml:space="preserve">Booking of meetings from our website</w:t>
            </w:r>
          </w:p>
        </w:tc>
        <w:tc>
          <w:tcPr>
            <w:tcMar>
              <w:top w:type="dxa" w:w="60"/>
              <w:left w:type="dxa" w:w="100"/>
              <w:bottom w:type="dxa" w:w="60"/>
              <w:right w:type="dxa" w:w="100"/>
            </w:tcMar>
          </w:tcPr>
          <w:p>
            <w:r>
              <w:rPr>
                <w:rFonts w:ascii="Calibri" w:cs="Calibri" w:eastAsia="Calibri" w:hAnsi="Calibri"/>
                <w:b w:val="false"/>
                <w:bCs w:val="false"/>
                <w:sz w:val="18"/>
                <w:szCs w:val="18"/>
              </w:rPr>
              <w:t xml:space="preserve">Name, email address and the details you add to a booking</w:t>
            </w:r>
          </w:p>
        </w:tc>
        <w:tc>
          <w:tcPr>
            <w:tcMar>
              <w:top w:type="dxa" w:w="60"/>
              <w:left w:type="dxa" w:w="100"/>
              <w:bottom w:type="dxa" w:w="60"/>
              <w:right w:type="dxa" w:w="100"/>
            </w:tcMar>
          </w:tcPr>
          <w:p>
            <w:r>
              <w:rPr>
                <w:rFonts w:ascii="Calibri" w:cs="Calibri" w:eastAsia="Calibri" w:hAnsi="Calibri"/>
                <w:b w:val="false"/>
                <w:bCs w:val="false"/>
                <w:sz w:val="18"/>
                <w:szCs w:val="18"/>
              </w:rPr>
              <w:t xml:space="preserve">United States</w:t>
            </w:r>
          </w:p>
        </w:tc>
        <w:tc>
          <w:tcPr>
            <w:tcMar>
              <w:top w:type="dxa" w:w="60"/>
              <w:left w:type="dxa" w:w="100"/>
              <w:bottom w:type="dxa" w:w="60"/>
              <w:right w:type="dxa" w:w="100"/>
            </w:tcMar>
          </w:tcPr>
          <w:p>
            <w:r>
              <w:rPr>
                <w:rFonts w:ascii="Calibri" w:cs="Calibri" w:eastAsia="Calibri" w:hAnsi="Calibri"/>
                <w:b w:val="false"/>
                <w:bCs w:val="false"/>
                <w:sz w:val="18"/>
                <w:szCs w:val="18"/>
              </w:rPr>
              <w:t xml:space="preserve">No</w:t>
            </w:r>
          </w:p>
        </w:tc>
      </w:tr>
    </w:tbl>
    <w:p>
      <w:pPr>
        <w:pStyle w:val="Heading1"/>
        <w:spacing w:after="120" w:before="300"/>
      </w:pPr>
      <w:r>
        <w:rPr>
          <w:rFonts w:ascii="Calibri" w:cs="Calibri" w:eastAsia="Calibri" w:hAnsi="Calibri"/>
          <w:b/>
          <w:bCs/>
          <w:sz w:val="24"/>
          <w:szCs w:val="24"/>
        </w:rPr>
        <w:t xml:space="preserve">Signatures</w:t>
      </w:r>
    </w:p>
    <w:p>
      <w:pPr>
        <w:spacing w:after="140" w:line="300"/>
      </w:pPr>
      <w:r>
        <w:rPr>
          <w:rFonts w:ascii="Calibri" w:cs="Calibri" w:eastAsia="Calibri" w:hAnsi="Calibri"/>
          <w:b/>
          <w:bCs/>
          <w:sz w:val="21"/>
          <w:szCs w:val="21"/>
        </w:rPr>
        <w:t xml:space="preserve">For the Customer</w:t>
      </w:r>
    </w:p>
    <w:p>
      <w:pPr>
        <w:spacing w:after="120"/>
      </w:pPr>
      <w:r>
        <w:rPr>
          <w:rFonts w:ascii="Calibri" w:cs="Calibri" w:eastAsia="Calibri" w:hAnsi="Calibri"/>
          <w:color w:val="6B6A63"/>
          <w:sz w:val="21"/>
          <w:szCs w:val="21"/>
        </w:rPr>
        <w:t xml:space="preserve">Name: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Title: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Date: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Signature: </w:t>
      </w:r>
      <w:r>
        <w:rPr>
          <w:rFonts w:ascii="Calibri" w:cs="Calibri" w:eastAsia="Calibri" w:hAnsi="Calibri"/>
          <w:sz w:val="21"/>
          <w:szCs w:val="21"/>
        </w:rPr>
        <w:t xml:space="preserve">______________________________________</w:t>
      </w:r>
    </w:p>
    <w:p>
      <w:pPr>
        <w:spacing w:after="140" w:line="300"/>
      </w:pPr>
      <w:r>
        <w:rPr>
          <w:rFonts w:ascii="Calibri" w:cs="Calibri" w:eastAsia="Calibri" w:hAnsi="Calibri"/>
          <w:b/>
          <w:bCs/>
          <w:sz w:val="21"/>
          <w:szCs w:val="21"/>
        </w:rPr>
        <w:t xml:space="preserve">For Caudals</w:t>
      </w:r>
    </w:p>
    <w:p>
      <w:pPr>
        <w:spacing w:after="120"/>
      </w:pPr>
      <w:r>
        <w:rPr>
          <w:rFonts w:ascii="Calibri" w:cs="Calibri" w:eastAsia="Calibri" w:hAnsi="Calibri"/>
          <w:color w:val="6B6A63"/>
          <w:sz w:val="21"/>
          <w:szCs w:val="21"/>
        </w:rPr>
        <w:t xml:space="preserve">Name: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Title: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Date: </w:t>
      </w:r>
      <w:r>
        <w:rPr>
          <w:rFonts w:ascii="Calibri" w:cs="Calibri" w:eastAsia="Calibri" w:hAnsi="Calibri"/>
          <w:sz w:val="21"/>
          <w:szCs w:val="21"/>
        </w:rPr>
        <w:t xml:space="preserve">______________________________________</w:t>
      </w:r>
    </w:p>
    <w:p>
      <w:pPr>
        <w:spacing w:after="120"/>
      </w:pPr>
      <w:r>
        <w:rPr>
          <w:rFonts w:ascii="Calibri" w:cs="Calibri" w:eastAsia="Calibri" w:hAnsi="Calibri"/>
          <w:color w:val="6B6A63"/>
          <w:sz w:val="21"/>
          <w:szCs w:val="21"/>
        </w:rPr>
        <w:t xml:space="preserve">Signature: </w:t>
      </w:r>
      <w:r>
        <w:rPr>
          <w:rFonts w:ascii="Calibri" w:cs="Calibri" w:eastAsia="Calibri" w:hAnsi="Calibri"/>
          <w:sz w:val="21"/>
          <w:szCs w:val="21"/>
        </w:rPr>
        <w:t xml:space="preserve">______________________________________</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6B6A63"/>
        <w:sz w:val="16"/>
        <w:szCs w:val="16"/>
      </w:rPr>
      <w:t xml:space="preserve">Data Processing Agreement · Version 2026-10-11 · </w:t>
    </w:r>
    <w:r>
      <w:rPr>
        <w:rFonts w:ascii="Calibri" w:cs="Calibri" w:eastAsia="Calibri" w:hAnsi="Calibri"/>
        <w:color w:val="6B6A6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Processing Agreement (2026-10-11)</dc:title>
  <dc:creator>Caudals</dc:creator>
  <cp:lastModifiedBy>Un-named</cp:lastModifiedBy>
  <cp:revision>1</cp:revision>
  <dcterms:created xsi:type="dcterms:W3CDTF">2026-10-14T22:56:05.341Z</dcterms:created>
  <dcterms:modified xsi:type="dcterms:W3CDTF">2026-10-14T22:56:05.342Z</dcterms:modified>
</cp:coreProperties>
</file>

<file path=docProps/custom.xml><?xml version="1.0" encoding="utf-8"?>
<Properties xmlns="http://schemas.openxmlformats.org/officeDocument/2006/custom-properties" xmlns:vt="http://schemas.openxmlformats.org/officeDocument/2006/docPropsVTypes"/>
</file>