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before="300"/>
      </w:pPr>
      <w:r>
        <w:rPr>
          <w:rFonts w:ascii="Calibri" w:cs="Calibri" w:eastAsia="Calibri" w:hAnsi="Calibri"/>
          <w:b/>
          <w:bCs/>
          <w:sz w:val="36"/>
          <w:szCs w:val="36"/>
        </w:rPr>
        <w:t xml:space="preserve">Contrato de encargo del tratamiento</w:t>
      </w:r>
    </w:p>
    <w:p>
      <w:pPr>
        <w:spacing w:after="240" w:line="300"/>
      </w:pPr>
      <w:r>
        <w:rPr>
          <w:rFonts w:ascii="Calibri" w:cs="Calibri" w:eastAsia="Calibri" w:hAnsi="Calibri"/>
          <w:color w:val="6B6A63"/>
          <w:sz w:val="21"/>
          <w:szCs w:val="21"/>
        </w:rPr>
        <w:t xml:space="preserve">Plantilla para firma · Versión 2026-10-11</w:t>
      </w:r>
    </w:p>
    <w:p>
      <w:pPr>
        <w:spacing w:after="140" w:line="300"/>
      </w:pPr>
      <w:r>
        <w:rPr>
          <w:rFonts w:ascii="Calibri" w:cs="Calibri" w:eastAsia="Calibri" w:hAnsi="Calibri"/>
          <w:sz w:val="21"/>
          <w:szCs w:val="21"/>
        </w:rPr>
        <w:t xml:space="preserve">Este contrato se celebra entre el cliente identificado a continuación (el Cliente) y la sociedad que opera Caudals (Caudals). Se aplica a los datos personales que Caudals trata por cuenta del Cliente cuando este usa el servicio de evaluación de Caudals, y forma parte de los Términos del servicio de Caudals, publicados en https://caudals.com/es/legal/terminos.</w:t>
      </w:r>
    </w:p>
    <w:p>
      <w:pPr>
        <w:pStyle w:val="Heading1"/>
        <w:spacing w:after="120" w:before="300"/>
      </w:pPr>
      <w:r>
        <w:rPr>
          <w:rFonts w:ascii="Calibri" w:cs="Calibri" w:eastAsia="Calibri" w:hAnsi="Calibri"/>
          <w:b/>
          <w:bCs/>
          <w:sz w:val="24"/>
          <w:szCs w:val="24"/>
        </w:rPr>
        <w:t xml:space="preserve">Las partes</w:t>
      </w:r>
    </w:p>
    <w:p>
      <w:pPr>
        <w:spacing w:after="140" w:line="300"/>
      </w:pPr>
      <w:r>
        <w:rPr>
          <w:rFonts w:ascii="Calibri" w:cs="Calibri" w:eastAsia="Calibri" w:hAnsi="Calibri"/>
          <w:b/>
          <w:bCs/>
          <w:sz w:val="21"/>
          <w:szCs w:val="21"/>
        </w:rPr>
        <w:t xml:space="preserve">El Cliente (responsable del tratamiento)</w:t>
      </w:r>
    </w:p>
    <w:p>
      <w:pPr>
        <w:spacing w:after="120"/>
      </w:pPr>
      <w:r>
        <w:rPr>
          <w:rFonts w:ascii="Calibri" w:cs="Calibri" w:eastAsia="Calibri" w:hAnsi="Calibri"/>
          <w:color w:val="6B6A63"/>
          <w:sz w:val="21"/>
          <w:szCs w:val="21"/>
        </w:rPr>
        <w:t xml:space="preserve">Razón social: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NIF o número de IVA: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Domicilio social: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Representada por (nombre y cargo):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Contacto de protección de datos: </w:t>
      </w:r>
      <w:r>
        <w:rPr>
          <w:rFonts w:ascii="Calibri" w:cs="Calibri" w:eastAsia="Calibri" w:hAnsi="Calibri"/>
          <w:sz w:val="21"/>
          <w:szCs w:val="21"/>
        </w:rPr>
        <w:t xml:space="preserve">______________________________________</w:t>
      </w:r>
    </w:p>
    <w:p>
      <w:pPr>
        <w:spacing w:after="140" w:line="300"/>
      </w:pPr>
      <w:r>
        <w:rPr>
          <w:rFonts w:ascii="Calibri" w:cs="Calibri" w:eastAsia="Calibri" w:hAnsi="Calibri"/>
          <w:b/>
          <w:bCs/>
          <w:sz w:val="21"/>
          <w:szCs w:val="21"/>
        </w:rPr>
        <w:t xml:space="preserve">Caudals (encargado del tratamiento)</w:t>
      </w:r>
    </w:p>
    <w:p>
      <w:pPr>
        <w:spacing w:after="120"/>
      </w:pPr>
      <w:r>
        <w:rPr>
          <w:rFonts w:ascii="Calibri" w:cs="Calibri" w:eastAsia="Calibri" w:hAnsi="Calibri"/>
          <w:color w:val="6B6A63"/>
          <w:sz w:val="21"/>
          <w:szCs w:val="21"/>
        </w:rPr>
        <w:t xml:space="preserve">Razón social: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NIF o número de IVA: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Domicilio social: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Representada por (nombre y cargo):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Contacto de protección de datos: </w:t>
      </w:r>
      <w:r>
        <w:rPr>
          <w:rFonts w:ascii="Calibri" w:cs="Calibri" w:eastAsia="Calibri" w:hAnsi="Calibri"/>
          <w:sz w:val="21"/>
          <w:szCs w:val="21"/>
        </w:rPr>
        <w:t xml:space="preserve">______________________________________</w:t>
      </w:r>
    </w:p>
    <w:p>
      <w:pPr>
        <w:pStyle w:val="Heading2"/>
        <w:spacing w:after="120" w:before="300"/>
      </w:pPr>
      <w:r>
        <w:rPr>
          <w:rFonts w:ascii="Calibri" w:cs="Calibri" w:eastAsia="Calibri" w:hAnsi="Calibri"/>
          <w:b/>
          <w:bCs/>
          <w:sz w:val="24"/>
          <w:szCs w:val="24"/>
        </w:rPr>
        <w:t xml:space="preserve">1. Definiciones</w:t>
      </w:r>
    </w:p>
    <w:p>
      <w:pPr>
        <w:spacing w:after="140" w:line="300"/>
      </w:pPr>
      <w:r>
        <w:rPr>
          <w:rFonts w:ascii="Calibri" w:cs="Calibri" w:eastAsia="Calibri" w:hAnsi="Calibri"/>
          <w:sz w:val="21"/>
          <w:szCs w:val="21"/>
        </w:rPr>
        <w:t xml:space="preserve">Datos personales, tratamiento, responsable, encargado, interesado y violación de la seguridad de los datos personales tienen el significado que les da el Reglamento (UE) 2016/679 (RGPD). Normativa de protección de datos significa el RGPD, la Ley Orgánica 3/2018 (LOPDGDD) y cualquier otra norma aplicable al tratamiento.</w:t>
      </w:r>
    </w:p>
    <w:p>
      <w:pPr>
        <w:pStyle w:val="Heading2"/>
        <w:spacing w:after="120" w:before="300"/>
      </w:pPr>
      <w:r>
        <w:rPr>
          <w:rFonts w:ascii="Calibri" w:cs="Calibri" w:eastAsia="Calibri" w:hAnsi="Calibri"/>
          <w:b/>
          <w:bCs/>
          <w:sz w:val="24"/>
          <w:szCs w:val="24"/>
        </w:rPr>
        <w:t xml:space="preserve">2. Objeto y duración</w:t>
      </w:r>
    </w:p>
    <w:p>
      <w:pPr>
        <w:spacing w:after="140" w:line="300"/>
      </w:pPr>
      <w:r>
        <w:rPr>
          <w:rFonts w:ascii="Calibri" w:cs="Calibri" w:eastAsia="Calibri" w:hAnsi="Calibri"/>
          <w:sz w:val="21"/>
          <w:szCs w:val="21"/>
        </w:rPr>
        <w:t xml:space="preserve">Caudals trata los datos personales contenidos en el contenido del Cliente para prestar el servicio de evaluación: probar los sistemas de IA del Cliente, calificar sus respuestas y elaborar informes y, cuando se encarguen, la revisión por expertos y conjuntos de datos a medida. Este contrato dura mientras Caudals trate datos personales por cuenta del Cliente.</w:t>
      </w:r>
    </w:p>
    <w:p>
      <w:pPr>
        <w:pStyle w:val="Heading2"/>
        <w:spacing w:after="120" w:before="300"/>
      </w:pPr>
      <w:r>
        <w:rPr>
          <w:rFonts w:ascii="Calibri" w:cs="Calibri" w:eastAsia="Calibri" w:hAnsi="Calibri"/>
          <w:b/>
          <w:bCs/>
          <w:sz w:val="24"/>
          <w:szCs w:val="24"/>
        </w:rPr>
        <w:t xml:space="preserve">3. Naturaleza, finalidad y categorías</w:t>
      </w:r>
    </w:p>
    <w:p>
      <w:pPr>
        <w:spacing w:after="140" w:line="300"/>
      </w:pPr>
      <w:r>
        <w:rPr>
          <w:rFonts w:ascii="Calibri" w:cs="Calibri" w:eastAsia="Calibri" w:hAnsi="Calibri"/>
          <w:sz w:val="21"/>
          <w:szCs w:val="21"/>
        </w:rPr>
        <w:t xml:space="preserve">La naturaleza y la finalidad del tratamiento, los tipos de datos personales y las categorías de interesados se describen en el Anexo 1.</w:t>
      </w:r>
    </w:p>
    <w:p>
      <w:pPr>
        <w:pStyle w:val="Heading2"/>
        <w:spacing w:after="120" w:before="300"/>
      </w:pPr>
      <w:r>
        <w:rPr>
          <w:rFonts w:ascii="Calibri" w:cs="Calibri" w:eastAsia="Calibri" w:hAnsi="Calibri"/>
          <w:b/>
          <w:bCs/>
          <w:sz w:val="24"/>
          <w:szCs w:val="24"/>
        </w:rPr>
        <w:t xml:space="preserve">4. Instrucciones del Cliente</w:t>
      </w:r>
    </w:p>
    <w:p>
      <w:pPr>
        <w:spacing w:after="140" w:line="300"/>
      </w:pPr>
      <w:r>
        <w:rPr>
          <w:rFonts w:ascii="Calibri" w:cs="Calibri" w:eastAsia="Calibri" w:hAnsi="Calibri"/>
          <w:sz w:val="21"/>
          <w:szCs w:val="21"/>
        </w:rPr>
        <w:t xml:space="preserve">Caudals trata los datos personales solo siguiendo las instrucciones documentadas del Cliente, que son este contrato, los Términos del servicio y el uso y la configuración que el Cliente haga del servicio, incluidos los modelos de IA que elija. Caudals informa al Cliente si considera que una instrucción infringe la normativa de protección de datos. Si la ley obliga a Caudals a tratar los datos con otra finalidad, Caudals lo comunica antes al Cliente, salvo que la ley lo prohíba.</w:t>
      </w:r>
    </w:p>
    <w:p>
      <w:pPr>
        <w:pStyle w:val="Heading2"/>
        <w:spacing w:after="120" w:before="300"/>
      </w:pPr>
      <w:r>
        <w:rPr>
          <w:rFonts w:ascii="Calibri" w:cs="Calibri" w:eastAsia="Calibri" w:hAnsi="Calibri"/>
          <w:b/>
          <w:bCs/>
          <w:sz w:val="24"/>
          <w:szCs w:val="24"/>
        </w:rPr>
        <w:t xml:space="preserve">5. Obligaciones del Cliente</w:t>
      </w:r>
    </w:p>
    <w:p>
      <w:pPr>
        <w:spacing w:after="140" w:line="300"/>
      </w:pPr>
      <w:r>
        <w:rPr>
          <w:rFonts w:ascii="Calibri" w:cs="Calibri" w:eastAsia="Calibri" w:hAnsi="Calibri"/>
          <w:sz w:val="21"/>
          <w:szCs w:val="21"/>
        </w:rPr>
        <w:t xml:space="preserve">El Cliente es responsable de la licitud del tratamiento que encarga, lo que incluye contar con una base jurídica para los datos personales de su contenido, informar a los interesados y estar facultado para probar los sistemas de IA que conecte. El Cliente no incluye categorías especiales de datos personales en su contenido salvo que las partes lo hayan acordado por escrito.</w:t>
      </w:r>
    </w:p>
    <w:p>
      <w:pPr>
        <w:pStyle w:val="Heading2"/>
        <w:spacing w:after="120" w:before="300"/>
      </w:pPr>
      <w:r>
        <w:rPr>
          <w:rFonts w:ascii="Calibri" w:cs="Calibri" w:eastAsia="Calibri" w:hAnsi="Calibri"/>
          <w:b/>
          <w:bCs/>
          <w:sz w:val="24"/>
          <w:szCs w:val="24"/>
        </w:rPr>
        <w:t xml:space="preserve">6. Confidencialidad</w:t>
      </w:r>
    </w:p>
    <w:p>
      <w:pPr>
        <w:spacing w:after="140" w:line="300"/>
      </w:pPr>
      <w:r>
        <w:rPr>
          <w:rFonts w:ascii="Calibri" w:cs="Calibri" w:eastAsia="Calibri" w:hAnsi="Calibri"/>
          <w:sz w:val="21"/>
          <w:szCs w:val="21"/>
        </w:rPr>
        <w:t xml:space="preserve">Caudals garantiza que su personal y los expertos autónomos que contrata y que tratan los datos personales están sujetos a obligaciones de confidencialidad y solo ven los datos que necesita su tarea. Los expertos reciben el material con los datos personales ocultados.</w:t>
      </w:r>
    </w:p>
    <w:p>
      <w:pPr>
        <w:pStyle w:val="Heading2"/>
        <w:spacing w:after="120" w:before="300"/>
      </w:pPr>
      <w:r>
        <w:rPr>
          <w:rFonts w:ascii="Calibri" w:cs="Calibri" w:eastAsia="Calibri" w:hAnsi="Calibri"/>
          <w:b/>
          <w:bCs/>
          <w:sz w:val="24"/>
          <w:szCs w:val="24"/>
        </w:rPr>
        <w:t xml:space="preserve">7. Seguridad</w:t>
      </w:r>
    </w:p>
    <w:p>
      <w:pPr>
        <w:spacing w:after="140" w:line="300"/>
      </w:pPr>
      <w:r>
        <w:rPr>
          <w:rFonts w:ascii="Calibri" w:cs="Calibri" w:eastAsia="Calibri" w:hAnsi="Calibri"/>
          <w:sz w:val="21"/>
          <w:szCs w:val="21"/>
        </w:rPr>
        <w:t xml:space="preserve">Caudals aplica las medidas técnicas y organizativas descritas en el Anexo 2 y las mantiene adecuadas al riesgo, teniendo en cuenta el estado de la técnica, los costes de aplicación y la naturaleza, el alcance, el contexto y los fines del tratamiento. Caudals puede actualizar las medidas siempre que no se reduzca el nivel general de protección.</w:t>
      </w:r>
    </w:p>
    <w:p>
      <w:pPr>
        <w:pStyle w:val="Heading2"/>
        <w:spacing w:after="120" w:before="300"/>
      </w:pPr>
      <w:r>
        <w:rPr>
          <w:rFonts w:ascii="Calibri" w:cs="Calibri" w:eastAsia="Calibri" w:hAnsi="Calibri"/>
          <w:b/>
          <w:bCs/>
          <w:sz w:val="24"/>
          <w:szCs w:val="24"/>
        </w:rPr>
        <w:t xml:space="preserve">8. Subencargados</w:t>
      </w:r>
    </w:p>
    <w:p>
      <w:pPr>
        <w:spacing w:after="140" w:line="300"/>
      </w:pPr>
      <w:r>
        <w:rPr>
          <w:rFonts w:ascii="Calibri" w:cs="Calibri" w:eastAsia="Calibri" w:hAnsi="Calibri"/>
          <w:sz w:val="21"/>
          <w:szCs w:val="21"/>
        </w:rPr>
        <w:t xml:space="preserve">El Cliente otorga a Caudals una autorización general para recurrir a subencargados. Los subencargados en la fecha de este contrato figuran en el Anexo 3, y la lista vigente se publica en https://caudals.com/es/legal/subencargados. Caudals informa al Cliente de cualquier incorporación o sustitución prevista con al menos 30 días de antelación, por correo electrónico a los propietarios de los espacios de trabajo y en esa página. El Cliente puede oponerse por motivos razonables de protección de datos; si las partes no pueden resolver la objeción, el Cliente puede dejar de usar el servicio afectado y resolver este contrato. Caudals impone a cada subencargado obligaciones de protección de datos equivalentes a las de este contrato y sigue respondiendo ante el Cliente de su cumplimiento.</w:t>
      </w:r>
    </w:p>
    <w:p>
      <w:pPr>
        <w:pStyle w:val="Heading2"/>
        <w:spacing w:after="120" w:before="300"/>
      </w:pPr>
      <w:r>
        <w:rPr>
          <w:rFonts w:ascii="Calibri" w:cs="Calibri" w:eastAsia="Calibri" w:hAnsi="Calibri"/>
          <w:b/>
          <w:bCs/>
          <w:sz w:val="24"/>
          <w:szCs w:val="24"/>
        </w:rPr>
        <w:t xml:space="preserve">9. Transferencias internacionales</w:t>
      </w:r>
    </w:p>
    <w:p>
      <w:pPr>
        <w:spacing w:after="140" w:line="300"/>
      </w:pPr>
      <w:r>
        <w:rPr>
          <w:rFonts w:ascii="Calibri" w:cs="Calibri" w:eastAsia="Calibri" w:hAnsi="Calibri"/>
          <w:sz w:val="21"/>
          <w:szCs w:val="21"/>
        </w:rPr>
        <w:t xml:space="preserve">Caudals aloja el contenido del Cliente en la Unión Europea. Caudals solo transfiere datos personales fuera del Espacio Económico Europeo cuando se aplica una decisión de adecuación o con garantías adecuadas, como las cláusulas contractuales tipo adoptadas por la Comisión Europea.</w:t>
      </w:r>
    </w:p>
    <w:p>
      <w:pPr>
        <w:pStyle w:val="Heading2"/>
        <w:spacing w:after="120" w:before="300"/>
      </w:pPr>
      <w:r>
        <w:rPr>
          <w:rFonts w:ascii="Calibri" w:cs="Calibri" w:eastAsia="Calibri" w:hAnsi="Calibri"/>
          <w:b/>
          <w:bCs/>
          <w:sz w:val="24"/>
          <w:szCs w:val="24"/>
        </w:rPr>
        <w:t xml:space="preserve">10. Solicitudes de los interesados</w:t>
      </w:r>
    </w:p>
    <w:p>
      <w:pPr>
        <w:spacing w:after="140" w:line="300"/>
      </w:pPr>
      <w:r>
        <w:rPr>
          <w:rFonts w:ascii="Calibri" w:cs="Calibri" w:eastAsia="Calibri" w:hAnsi="Calibri"/>
          <w:sz w:val="21"/>
          <w:szCs w:val="21"/>
        </w:rPr>
        <w:t xml:space="preserve">Teniendo en cuenta la naturaleza del tratamiento, Caudals asiste al Cliente, mediante medidas técnicas y organizativas apropiadas, para responder a las solicitudes de los interesados que ejerzan sus derechos. Si Caudals recibe directamente una solicitud de este tipo, la traslada al Cliente sin dilación indebida y solo la responde siguiendo las instrucciones del Cliente.</w:t>
      </w:r>
    </w:p>
    <w:p>
      <w:pPr>
        <w:pStyle w:val="Heading2"/>
        <w:spacing w:after="120" w:before="300"/>
      </w:pPr>
      <w:r>
        <w:rPr>
          <w:rFonts w:ascii="Calibri" w:cs="Calibri" w:eastAsia="Calibri" w:hAnsi="Calibri"/>
          <w:b/>
          <w:bCs/>
          <w:sz w:val="24"/>
          <w:szCs w:val="24"/>
        </w:rPr>
        <w:t xml:space="preserve">11. Violaciones de la seguridad</w:t>
      </w:r>
    </w:p>
    <w:p>
      <w:pPr>
        <w:spacing w:after="140" w:line="300"/>
      </w:pPr>
      <w:r>
        <w:rPr>
          <w:rFonts w:ascii="Calibri" w:cs="Calibri" w:eastAsia="Calibri" w:hAnsi="Calibri"/>
          <w:sz w:val="21"/>
          <w:szCs w:val="21"/>
        </w:rPr>
        <w:t xml:space="preserve">Caudals notifica al Cliente, sin dilación indebida desde que tenga conocimiento de ella, cualquier violación de la seguridad que afecte a los datos personales del Cliente, y le facilita la información razonablemente disponible que necesite para cumplir sus propias obligaciones de notificación. Caudals adopta medidas razonables para contener la violación y mitigar sus efectos.</w:t>
      </w:r>
    </w:p>
    <w:p>
      <w:pPr>
        <w:pStyle w:val="Heading2"/>
        <w:spacing w:after="120" w:before="300"/>
      </w:pPr>
      <w:r>
        <w:rPr>
          <w:rFonts w:ascii="Calibri" w:cs="Calibri" w:eastAsia="Calibri" w:hAnsi="Calibri"/>
          <w:b/>
          <w:bCs/>
          <w:sz w:val="24"/>
          <w:szCs w:val="24"/>
        </w:rPr>
        <w:t xml:space="preserve">12. Asistencia</w:t>
      </w:r>
    </w:p>
    <w:p>
      <w:pPr>
        <w:spacing w:after="140" w:line="300"/>
      </w:pPr>
      <w:r>
        <w:rPr>
          <w:rFonts w:ascii="Calibri" w:cs="Calibri" w:eastAsia="Calibri" w:hAnsi="Calibri"/>
          <w:sz w:val="21"/>
          <w:szCs w:val="21"/>
        </w:rPr>
        <w:t xml:space="preserve">Teniendo en cuenta la naturaleza del tratamiento y la información de que disponga, Caudals asiste al Cliente en las evaluaciones de impacto relativas a la protección de datos y en las consultas previas a las autoridades de control relacionadas con el servicio.</w:t>
      </w:r>
    </w:p>
    <w:p>
      <w:pPr>
        <w:pStyle w:val="Heading2"/>
        <w:spacing w:after="120" w:before="300"/>
      </w:pPr>
      <w:r>
        <w:rPr>
          <w:rFonts w:ascii="Calibri" w:cs="Calibri" w:eastAsia="Calibri" w:hAnsi="Calibri"/>
          <w:b/>
          <w:bCs/>
          <w:sz w:val="24"/>
          <w:szCs w:val="24"/>
        </w:rPr>
        <w:t xml:space="preserve">13. Supresión y devolución</w:t>
      </w:r>
    </w:p>
    <w:p>
      <w:pPr>
        <w:spacing w:after="140" w:line="300"/>
      </w:pPr>
      <w:r>
        <w:rPr>
          <w:rFonts w:ascii="Calibri" w:cs="Calibri" w:eastAsia="Calibri" w:hAnsi="Calibri"/>
          <w:sz w:val="21"/>
          <w:szCs w:val="21"/>
        </w:rPr>
        <w:t xml:space="preserve">Cuando el Cliente elimina un espacio de trabajo, o cuando termina el servicio, Caudals suprime de sus sistemas activos los datos personales tratados por cuenta del Cliente, y de sus copias de seguridad cuando estas caducan, salvo que la ley obligue a conservarlos. Antes, el Cliente puede exportar sus informes y resultados, y puede pedir por escrito a Caudals que le devuelva los datos.</w:t>
      </w:r>
    </w:p>
    <w:p>
      <w:pPr>
        <w:pStyle w:val="Heading2"/>
        <w:spacing w:after="120" w:before="300"/>
      </w:pPr>
      <w:r>
        <w:rPr>
          <w:rFonts w:ascii="Calibri" w:cs="Calibri" w:eastAsia="Calibri" w:hAnsi="Calibri"/>
          <w:b/>
          <w:bCs/>
          <w:sz w:val="24"/>
          <w:szCs w:val="24"/>
        </w:rPr>
        <w:t xml:space="preserve">14. Auditorías e información</w:t>
      </w:r>
    </w:p>
    <w:p>
      <w:pPr>
        <w:spacing w:after="140" w:line="300"/>
      </w:pPr>
      <w:r>
        <w:rPr>
          <w:rFonts w:ascii="Calibri" w:cs="Calibri" w:eastAsia="Calibri" w:hAnsi="Calibri"/>
          <w:sz w:val="21"/>
          <w:szCs w:val="21"/>
        </w:rPr>
        <w:t xml:space="preserve">Caudals pone a disposición del Cliente la información necesaria para demostrar que cumple sus obligaciones conforme a este contrato y al artículo 28 del RGPD, y permite y contribuye a la realización de auditorías, incluidas inspecciones, por parte del Cliente o de un auditor designado por él y sujeto a confidencialidad. Las auditorías requieren un preaviso de al menos 30 días, se realizan en horario laboral y se limitan a una al año, salvo que una violación de la seguridad o una autoridad de control exijan otra cosa. Cada parte asume sus propios costes.</w:t>
      </w:r>
    </w:p>
    <w:p>
      <w:pPr>
        <w:pStyle w:val="Heading2"/>
        <w:spacing w:after="120" w:before="300"/>
      </w:pPr>
      <w:r>
        <w:rPr>
          <w:rFonts w:ascii="Calibri" w:cs="Calibri" w:eastAsia="Calibri" w:hAnsi="Calibri"/>
          <w:b/>
          <w:bCs/>
          <w:sz w:val="24"/>
          <w:szCs w:val="24"/>
        </w:rPr>
        <w:t xml:space="preserve">15. Responsabilidad</w:t>
      </w:r>
    </w:p>
    <w:p>
      <w:pPr>
        <w:spacing w:after="140" w:line="300"/>
      </w:pPr>
      <w:r>
        <w:rPr>
          <w:rFonts w:ascii="Calibri" w:cs="Calibri" w:eastAsia="Calibri" w:hAnsi="Calibri"/>
          <w:sz w:val="21"/>
          <w:szCs w:val="21"/>
        </w:rPr>
        <w:t xml:space="preserve">La responsabilidad de cada parte conforme a este contrato está sujeta a las limitaciones de los Términos del servicio, en la medida en que lo permita la normativa de protección de datos.</w:t>
      </w:r>
    </w:p>
    <w:p>
      <w:pPr>
        <w:pStyle w:val="Heading2"/>
        <w:spacing w:after="120" w:before="300"/>
      </w:pPr>
      <w:r>
        <w:rPr>
          <w:rFonts w:ascii="Calibri" w:cs="Calibri" w:eastAsia="Calibri" w:hAnsi="Calibri"/>
          <w:b/>
          <w:bCs/>
          <w:sz w:val="24"/>
          <w:szCs w:val="24"/>
        </w:rPr>
        <w:t xml:space="preserve">16. Prevalencia, ley aplicable y tribunales</w:t>
      </w:r>
    </w:p>
    <w:p>
      <w:pPr>
        <w:spacing w:after="140" w:line="300"/>
      </w:pPr>
      <w:r>
        <w:rPr>
          <w:rFonts w:ascii="Calibri" w:cs="Calibri" w:eastAsia="Calibri" w:hAnsi="Calibri"/>
          <w:sz w:val="21"/>
          <w:szCs w:val="21"/>
        </w:rPr>
        <w:t xml:space="preserve">Si este contrato y los Términos del servicio entran en conflicto en materia de protección de datos personales, prevalece este contrato. Este contrato se rige por la ley española, y los juzgados y tribunales indicados en los Términos del servicio son competentes para cualquier controversia.</w:t>
      </w:r>
    </w:p>
    <w:p>
      <w:pPr>
        <w:pStyle w:val="Heading1"/>
        <w:spacing w:after="120" w:before="300"/>
      </w:pPr>
      <w:r>
        <w:rPr>
          <w:rFonts w:ascii="Calibri" w:cs="Calibri" w:eastAsia="Calibri" w:hAnsi="Calibri"/>
          <w:b/>
          <w:bCs/>
          <w:sz w:val="24"/>
          <w:szCs w:val="24"/>
        </w:rPr>
        <w:t xml:space="preserve">Anexo 1. Descripción del tratamiento</w:t>
      </w:r>
    </w:p>
    <w:p>
      <w:pPr>
        <w:pStyle w:val="ListParagraph"/>
        <w:numPr>
          <w:ilvl w:val="0"/>
          <w:numId w:val="1"/>
        </w:numPr>
        <w:spacing w:after="100" w:line="300"/>
      </w:pPr>
      <w:r>
        <w:rPr>
          <w:rFonts w:ascii="Calibri" w:cs="Calibri" w:eastAsia="Calibri" w:hAnsi="Calibri"/>
          <w:sz w:val="21"/>
          <w:szCs w:val="21"/>
        </w:rPr>
        <w:t xml:space="preserve">Interesados: los clientes y usuarios del Cliente cuyos datos aparezcan en los documentos, las webs o las respuestas de los sistemas de IA del Cliente; el personal y los representantes del Cliente; los miembros de los espacios de trabajo del Cliente.</w:t>
      </w:r>
    </w:p>
    <w:p>
      <w:pPr>
        <w:pStyle w:val="ListParagraph"/>
        <w:numPr>
          <w:ilvl w:val="0"/>
          <w:numId w:val="1"/>
        </w:numPr>
        <w:spacing w:after="100" w:line="300"/>
      </w:pPr>
      <w:r>
        <w:rPr>
          <w:rFonts w:ascii="Calibri" w:cs="Calibri" w:eastAsia="Calibri" w:hAnsi="Calibri"/>
          <w:sz w:val="21"/>
          <w:szCs w:val="21"/>
        </w:rPr>
        <w:t xml:space="preserve">Tipos de datos personales: nombres, datos de contacto, identificadores y el contenido de documentos, preguntas y respuestas, tal como los aporte el Cliente o los devuelvan sus sistemas de IA; el nombre, el correo electrónico y los registros de actividad de los miembros de los espacios de trabajo. Sin categorías especiales de datos personales salvo acuerdo por escrito.</w:t>
      </w:r>
    </w:p>
    <w:p>
      <w:pPr>
        <w:pStyle w:val="ListParagraph"/>
        <w:numPr>
          <w:ilvl w:val="0"/>
          <w:numId w:val="1"/>
        </w:numPr>
        <w:spacing w:after="100" w:line="300"/>
      </w:pPr>
      <w:r>
        <w:rPr>
          <w:rFonts w:ascii="Calibri" w:cs="Calibri" w:eastAsia="Calibri" w:hAnsi="Calibri"/>
          <w:sz w:val="21"/>
          <w:szCs w:val="21"/>
        </w:rPr>
        <w:t xml:space="preserve">Operaciones de tratamiento: almacenamiento; extracción de texto de documentos y webs; redacción de preguntas de prueba; envío de preguntas a los sistemas de IA del Cliente y registro de sus respuestas, incluidas capturas de pantalla de chats de webs; calificación automática; redacción de informes; revisión por expertos cuando se encargue; exportación y supresión.</w:t>
      </w:r>
    </w:p>
    <w:p>
      <w:pPr>
        <w:pStyle w:val="ListParagraph"/>
        <w:numPr>
          <w:ilvl w:val="0"/>
          <w:numId w:val="1"/>
        </w:numPr>
        <w:spacing w:after="100" w:line="300"/>
      </w:pPr>
      <w:r>
        <w:rPr>
          <w:rFonts w:ascii="Calibri" w:cs="Calibri" w:eastAsia="Calibri" w:hAnsi="Calibri"/>
          <w:sz w:val="21"/>
          <w:szCs w:val="21"/>
        </w:rPr>
        <w:t xml:space="preserve">Duración: mientras el Cliente use el servicio y, después, hasta la supresión prevista en la cláusula de supresión y devolución.</w:t>
      </w:r>
    </w:p>
    <w:p>
      <w:pPr>
        <w:pStyle w:val="ListParagraph"/>
        <w:numPr>
          <w:ilvl w:val="0"/>
          <w:numId w:val="1"/>
        </w:numPr>
        <w:spacing w:after="100" w:line="300"/>
      </w:pPr>
      <w:r>
        <w:rPr>
          <w:rFonts w:ascii="Calibri" w:cs="Calibri" w:eastAsia="Calibri" w:hAnsi="Calibri"/>
          <w:sz w:val="21"/>
          <w:szCs w:val="21"/>
        </w:rPr>
        <w:t xml:space="preserve">Conservación específica: las capturas de pantalla de chats de webs se eliminan a los siete días. Las copias diarias ordinarias se conservan aproximadamente una semana; los archivos restringidos de recuperación o incidentes pueden conservarse más tiempo para su finalidad documentada.</w:t>
      </w:r>
    </w:p>
    <w:p>
      <w:pPr>
        <w:pStyle w:val="Heading1"/>
        <w:spacing w:after="120" w:before="300"/>
      </w:pPr>
      <w:r>
        <w:rPr>
          <w:rFonts w:ascii="Calibri" w:cs="Calibri" w:eastAsia="Calibri" w:hAnsi="Calibri"/>
          <w:b/>
          <w:bCs/>
          <w:sz w:val="24"/>
          <w:szCs w:val="24"/>
        </w:rPr>
        <w:t xml:space="preserve">Anexo 2. Medidas técnicas y organizativas</w:t>
      </w:r>
    </w:p>
    <w:p>
      <w:pPr>
        <w:pStyle w:val="ListParagraph"/>
        <w:numPr>
          <w:ilvl w:val="0"/>
          <w:numId w:val="1"/>
        </w:numPr>
        <w:spacing w:after="100" w:line="300"/>
      </w:pPr>
      <w:r>
        <w:rPr>
          <w:rFonts w:ascii="Calibri" w:cs="Calibri" w:eastAsia="Calibri" w:hAnsi="Calibri"/>
          <w:sz w:val="21"/>
          <w:szCs w:val="21"/>
        </w:rPr>
        <w:t xml:space="preserve">Alojamiento en servidores que opera Caudals en Alemania; base de datos y almacenamiento de archivos no accesibles desde internet.</w:t>
      </w:r>
    </w:p>
    <w:p>
      <w:pPr>
        <w:pStyle w:val="ListParagraph"/>
        <w:numPr>
          <w:ilvl w:val="0"/>
          <w:numId w:val="1"/>
        </w:numPr>
        <w:spacing w:after="100" w:line="300"/>
      </w:pPr>
      <w:r>
        <w:rPr>
          <w:rFonts w:ascii="Calibri" w:cs="Calibri" w:eastAsia="Calibri" w:hAnsi="Calibri"/>
          <w:sz w:val="21"/>
          <w:szCs w:val="21"/>
        </w:rPr>
        <w:t xml:space="preserve">Cifrado en tránsito con TLS; cifrado en la aplicación con AES-256-GCM de las credenciales de los sistemas del Cliente; copias de seguridad cifradas; contraseñas guardadas solo como hashes con sal.</w:t>
      </w:r>
    </w:p>
    <w:p>
      <w:pPr>
        <w:pStyle w:val="ListParagraph"/>
        <w:numPr>
          <w:ilvl w:val="0"/>
          <w:numId w:val="1"/>
        </w:numPr>
        <w:spacing w:after="100" w:line="300"/>
      </w:pPr>
      <w:r>
        <w:rPr>
          <w:rFonts w:ascii="Calibri" w:cs="Calibri" w:eastAsia="Calibri" w:hAnsi="Calibri"/>
          <w:sz w:val="21"/>
          <w:szCs w:val="21"/>
        </w:rPr>
        <w:t xml:space="preserve">Separación entre clientes con seguridad a nivel de fila en la base de datos, un rol de aplicación restringido y tareas en segundo plano limitadas a cada espacio de trabajo.</w:t>
      </w:r>
    </w:p>
    <w:p>
      <w:pPr>
        <w:pStyle w:val="ListParagraph"/>
        <w:numPr>
          <w:ilvl w:val="0"/>
          <w:numId w:val="1"/>
        </w:numPr>
        <w:spacing w:after="100" w:line="300"/>
      </w:pPr>
      <w:r>
        <w:rPr>
          <w:rFonts w:ascii="Calibri" w:cs="Calibri" w:eastAsia="Calibri" w:hAnsi="Calibri"/>
          <w:sz w:val="21"/>
          <w:szCs w:val="21"/>
        </w:rPr>
        <w:t xml:space="preserve">Acceso basado en roles para los miembros de los espacios de trabajo; acceso del personal limitado a roles de plataforma y registrado en un registro de auditoría; administración de servidores solo a través de una red privada con autenticación por clave.</w:t>
      </w:r>
    </w:p>
    <w:p>
      <w:pPr>
        <w:pStyle w:val="ListParagraph"/>
        <w:numPr>
          <w:ilvl w:val="0"/>
          <w:numId w:val="1"/>
        </w:numPr>
        <w:spacing w:after="100" w:line="300"/>
      </w:pPr>
      <w:r>
        <w:rPr>
          <w:rFonts w:ascii="Calibri" w:cs="Calibri" w:eastAsia="Calibri" w:hAnsi="Calibri"/>
          <w:sz w:val="21"/>
          <w:szCs w:val="21"/>
        </w:rPr>
        <w:t xml:space="preserve">Tratamiento de IA por defecto en un modelo que opera Caudals; proveedores comerciales de IA solo cuando el Cliente los elige.</w:t>
      </w:r>
    </w:p>
    <w:p>
      <w:pPr>
        <w:pStyle w:val="ListParagraph"/>
        <w:numPr>
          <w:ilvl w:val="0"/>
          <w:numId w:val="1"/>
        </w:numPr>
        <w:spacing w:after="100" w:line="300"/>
      </w:pPr>
      <w:r>
        <w:rPr>
          <w:rFonts w:ascii="Calibri" w:cs="Calibri" w:eastAsia="Calibri" w:hAnsi="Calibri"/>
          <w:sz w:val="21"/>
          <w:szCs w:val="21"/>
        </w:rPr>
        <w:t xml:space="preserve">Procesos de navegador aislados cuyo tráfico se limita a destinos HTTPS públicos; sin elusión de CAPTCHA ni de inicios de sesión.</w:t>
      </w:r>
    </w:p>
    <w:p>
      <w:pPr>
        <w:pStyle w:val="ListParagraph"/>
        <w:numPr>
          <w:ilvl w:val="0"/>
          <w:numId w:val="1"/>
        </w:numPr>
        <w:spacing w:after="100" w:line="300"/>
      </w:pPr>
      <w:r>
        <w:rPr>
          <w:rFonts w:ascii="Calibri" w:cs="Calibri" w:eastAsia="Calibri" w:hAnsi="Calibri"/>
          <w:sz w:val="21"/>
          <w:szCs w:val="21"/>
        </w:rPr>
        <w:t xml:space="preserve">Límites de peticiones, registros de auditoría de las acciones importantes y comprobaciones de tipos, pruebas y datos sensibles antes de publicar. La monitorización opcional de errores excluye datos personales por defecto.</w:t>
      </w:r>
    </w:p>
    <w:p>
      <w:pPr>
        <w:pStyle w:val="ListParagraph"/>
        <w:numPr>
          <w:ilvl w:val="0"/>
          <w:numId w:val="1"/>
        </w:numPr>
        <w:spacing w:after="100" w:line="300"/>
      </w:pPr>
      <w:r>
        <w:rPr>
          <w:rFonts w:ascii="Calibri" w:cs="Calibri" w:eastAsia="Calibri" w:hAnsi="Calibri"/>
          <w:sz w:val="21"/>
          <w:szCs w:val="21"/>
        </w:rPr>
        <w:t xml:space="preserve">Un proceso de eliminación de espacios de trabajo que revoca los enlaces compartidos y las credenciales y borra el contenido de los sistemas activos.</w:t>
      </w:r>
    </w:p>
    <w:p>
      <w:pPr>
        <w:pStyle w:val="ListParagraph"/>
        <w:numPr>
          <w:ilvl w:val="0"/>
          <w:numId w:val="1"/>
        </w:numPr>
        <w:spacing w:after="100" w:line="300"/>
      </w:pPr>
      <w:r>
        <w:rPr>
          <w:rFonts w:ascii="Calibri" w:cs="Calibri" w:eastAsia="Calibri" w:hAnsi="Calibri"/>
          <w:sz w:val="21"/>
          <w:szCs w:val="21"/>
        </w:rPr>
        <w:t xml:space="preserve">Obligaciones de confidencialidad para el personal y los expertos; los expertos solo reciben material con los datos personales ocultados.</w:t>
      </w:r>
    </w:p>
    <w:p>
      <w:pPr>
        <w:pStyle w:val="Heading1"/>
        <w:spacing w:after="120" w:before="300"/>
      </w:pPr>
      <w:r>
        <w:rPr>
          <w:rFonts w:ascii="Calibri" w:cs="Calibri" w:eastAsia="Calibri" w:hAnsi="Calibri"/>
          <w:b/>
          <w:bCs/>
          <w:sz w:val="24"/>
          <w:szCs w:val="24"/>
        </w:rPr>
        <w:t xml:space="preserve">Anexo 3. Subencargados</w:t>
      </w:r>
    </w:p>
    <w:p>
      <w:pPr>
        <w:spacing w:after="140" w:line="300"/>
      </w:pPr>
      <w:r>
        <w:rPr>
          <w:rFonts w:ascii="Calibri" w:cs="Calibri" w:eastAsia="Calibri" w:hAnsi="Calibri"/>
          <w:sz w:val="21"/>
          <w:szCs w:val="21"/>
        </w:rPr>
        <w:t xml:space="preserve">Los subencargados en la fecha de este contrato. La lista vigente se publica en https://caudals.com/es/legal/subencargados.</w:t>
      </w:r>
    </w:p>
    <w:tbl>
      <w:tblPr>
        <w:tblW w:type="pct" w:w="100%"/>
        <w:tblBorders>
          <w:top w:val="single" w:color="DCDAD3" w:sz="4"/>
          <w:left w:val="single" w:color="DCDAD3" w:sz="4"/>
          <w:bottom w:val="single" w:color="DCDAD3" w:sz="4"/>
          <w:right w:val="single" w:color="DCDAD3" w:sz="4"/>
          <w:insideH w:val="single" w:color="DCDAD3" w:sz="4"/>
          <w:insideV w:val="single" w:color="DCDAD3" w:sz="4"/>
        </w:tblBorders>
      </w:tblPr>
      <w:tblGrid>
        <w:gridCol w:w="100"/>
        <w:gridCol w:w="100"/>
        <w:gridCol w:w="100"/>
        <w:gridCol w:w="100"/>
        <w:gridCol w:w="100"/>
      </w:tblGrid>
      <w:tr>
        <w:trPr>
          <w:tblHeader/>
        </w:trPr>
        <w:tc>
          <w:tcPr>
            <w:shd w:fill="FAFAF8" w:color="auto" w:val="clear"/>
            <w:tcMar>
              <w:top w:type="dxa" w:w="60"/>
              <w:left w:type="dxa" w:w="100"/>
              <w:bottom w:type="dxa" w:w="60"/>
              <w:right w:type="dxa" w:w="100"/>
            </w:tcMar>
          </w:tcPr>
          <w:p>
            <w:r>
              <w:rPr>
                <w:rFonts w:ascii="Calibri" w:cs="Calibri" w:eastAsia="Calibri" w:hAnsi="Calibri"/>
                <w:b/>
                <w:bCs/>
                <w:sz w:val="18"/>
                <w:szCs w:val="18"/>
              </w:rPr>
              <w:t xml:space="preserve">Proveedor</w:t>
            </w:r>
          </w:p>
        </w:tc>
        <w:tc>
          <w:tcPr>
            <w:shd w:fill="FAFAF8" w:color="auto" w:val="clear"/>
            <w:tcMar>
              <w:top w:type="dxa" w:w="60"/>
              <w:left w:type="dxa" w:w="100"/>
              <w:bottom w:type="dxa" w:w="60"/>
              <w:right w:type="dxa" w:w="100"/>
            </w:tcMar>
          </w:tcPr>
          <w:p>
            <w:r>
              <w:rPr>
                <w:rFonts w:ascii="Calibri" w:cs="Calibri" w:eastAsia="Calibri" w:hAnsi="Calibri"/>
                <w:b/>
                <w:bCs/>
                <w:sz w:val="18"/>
                <w:szCs w:val="18"/>
              </w:rPr>
              <w:t xml:space="preserve">Qué hace</w:t>
            </w:r>
          </w:p>
        </w:tc>
        <w:tc>
          <w:tcPr>
            <w:shd w:fill="FAFAF8" w:color="auto" w:val="clear"/>
            <w:tcMar>
              <w:top w:type="dxa" w:w="60"/>
              <w:left w:type="dxa" w:w="100"/>
              <w:bottom w:type="dxa" w:w="60"/>
              <w:right w:type="dxa" w:w="100"/>
            </w:tcMar>
          </w:tcPr>
          <w:p>
            <w:r>
              <w:rPr>
                <w:rFonts w:ascii="Calibri" w:cs="Calibri" w:eastAsia="Calibri" w:hAnsi="Calibri"/>
                <w:b/>
                <w:bCs/>
                <w:sz w:val="18"/>
                <w:szCs w:val="18"/>
              </w:rPr>
              <w:t xml:space="preserve">Datos personales</w:t>
            </w:r>
          </w:p>
        </w:tc>
        <w:tc>
          <w:tcPr>
            <w:shd w:fill="FAFAF8" w:color="auto" w:val="clear"/>
            <w:tcMar>
              <w:top w:type="dxa" w:w="60"/>
              <w:left w:type="dxa" w:w="100"/>
              <w:bottom w:type="dxa" w:w="60"/>
              <w:right w:type="dxa" w:w="100"/>
            </w:tcMar>
          </w:tcPr>
          <w:p>
            <w:r>
              <w:rPr>
                <w:rFonts w:ascii="Calibri" w:cs="Calibri" w:eastAsia="Calibri" w:hAnsi="Calibri"/>
                <w:b/>
                <w:bCs/>
                <w:sz w:val="18"/>
                <w:szCs w:val="18"/>
              </w:rPr>
              <w:t xml:space="preserve">Ubicación</w:t>
            </w:r>
          </w:p>
        </w:tc>
        <w:tc>
          <w:tcPr>
            <w:shd w:fill="FAFAF8" w:color="auto" w:val="clear"/>
            <w:tcMar>
              <w:top w:type="dxa" w:w="60"/>
              <w:left w:type="dxa" w:w="100"/>
              <w:bottom w:type="dxa" w:w="60"/>
              <w:right w:type="dxa" w:w="100"/>
            </w:tcMar>
          </w:tcPr>
          <w:p>
            <w:r>
              <w:rPr>
                <w:rFonts w:ascii="Calibri" w:cs="Calibri" w:eastAsia="Calibri" w:hAnsi="Calibri"/>
                <w:b/>
                <w:bCs/>
                <w:sz w:val="18"/>
                <w:szCs w:val="18"/>
              </w:rPr>
              <w:t xml:space="preserve">Contenido del espacio de trabajo</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Hetzner Online GmbH</w:t>
            </w:r>
          </w:p>
        </w:tc>
        <w:tc>
          <w:tcPr>
            <w:tcMar>
              <w:top w:type="dxa" w:w="60"/>
              <w:left w:type="dxa" w:w="100"/>
              <w:bottom w:type="dxa" w:w="60"/>
              <w:right w:type="dxa" w:w="100"/>
            </w:tcMar>
          </w:tcPr>
          <w:p>
            <w:r>
              <w:rPr>
                <w:rFonts w:ascii="Calibri" w:cs="Calibri" w:eastAsia="Calibri" w:hAnsi="Calibri"/>
                <w:b w:val="false"/>
                <w:bCs w:val="false"/>
                <w:sz w:val="18"/>
                <w:szCs w:val="18"/>
              </w:rPr>
              <w:t xml:space="preserve">Alojamiento de la aplicación, las bases de datos, el almacenamiento de archivos y las copias de seguridad, en servidores que opera Caudals</w:t>
            </w:r>
          </w:p>
        </w:tc>
        <w:tc>
          <w:tcPr>
            <w:tcMar>
              <w:top w:type="dxa" w:w="60"/>
              <w:left w:type="dxa" w:w="100"/>
              <w:bottom w:type="dxa" w:w="60"/>
              <w:right w:type="dxa" w:w="100"/>
            </w:tcMar>
          </w:tcPr>
          <w:p>
            <w:r>
              <w:rPr>
                <w:rFonts w:ascii="Calibri" w:cs="Calibri" w:eastAsia="Calibri" w:hAnsi="Calibri"/>
                <w:b w:val="false"/>
                <w:bCs w:val="false"/>
                <w:sz w:val="18"/>
                <w:szCs w:val="18"/>
              </w:rPr>
              <w:t xml:space="preserve">Todos los datos del Servicio</w:t>
            </w:r>
          </w:p>
        </w:tc>
        <w:tc>
          <w:tcPr>
            <w:tcMar>
              <w:top w:type="dxa" w:w="60"/>
              <w:left w:type="dxa" w:w="100"/>
              <w:bottom w:type="dxa" w:w="60"/>
              <w:right w:type="dxa" w:w="100"/>
            </w:tcMar>
          </w:tcPr>
          <w:p>
            <w:r>
              <w:rPr>
                <w:rFonts w:ascii="Calibri" w:cs="Calibri" w:eastAsia="Calibri" w:hAnsi="Calibri"/>
                <w:b w:val="false"/>
                <w:bCs w:val="false"/>
                <w:sz w:val="18"/>
                <w:szCs w:val="18"/>
              </w:rPr>
              <w:t xml:space="preserve">Alemania (UE)</w:t>
            </w:r>
          </w:p>
        </w:tc>
        <w:tc>
          <w:tcPr>
            <w:tcMar>
              <w:top w:type="dxa" w:w="60"/>
              <w:left w:type="dxa" w:w="100"/>
              <w:bottom w:type="dxa" w:w="60"/>
              <w:right w:type="dxa" w:w="100"/>
            </w:tcMar>
          </w:tcPr>
          <w:p>
            <w:r>
              <w:rPr>
                <w:rFonts w:ascii="Calibri" w:cs="Calibri" w:eastAsia="Calibri" w:hAnsi="Calibri"/>
                <w:b w:val="false"/>
                <w:bCs w:val="false"/>
                <w:sz w:val="18"/>
                <w:szCs w:val="18"/>
              </w:rPr>
              <w:t xml:space="preserve">Sí</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Cloudflare, Inc.</w:t>
            </w:r>
          </w:p>
        </w:tc>
        <w:tc>
          <w:tcPr>
            <w:tcMar>
              <w:top w:type="dxa" w:w="60"/>
              <w:left w:type="dxa" w:w="100"/>
              <w:bottom w:type="dxa" w:w="60"/>
              <w:right w:type="dxa" w:w="100"/>
            </w:tcMar>
          </w:tcPr>
          <w:p>
            <w:r>
              <w:rPr>
                <w:rFonts w:ascii="Calibri" w:cs="Calibri" w:eastAsia="Calibri" w:hAnsi="Calibri"/>
                <w:b w:val="false"/>
                <w:bCs w:val="false"/>
                <w:sz w:val="18"/>
                <w:szCs w:val="18"/>
              </w:rPr>
              <w:t xml:space="preserve">Servicio de nombres de dominio, cifrado en tránsito y protección de nuestras webs frente a ataques</w:t>
            </w:r>
          </w:p>
        </w:tc>
        <w:tc>
          <w:tcPr>
            <w:tcMar>
              <w:top w:type="dxa" w:w="60"/>
              <w:left w:type="dxa" w:w="100"/>
              <w:bottom w:type="dxa" w:w="60"/>
              <w:right w:type="dxa" w:w="100"/>
            </w:tcMar>
          </w:tcPr>
          <w:p>
            <w:r>
              <w:rPr>
                <w:rFonts w:ascii="Calibri" w:cs="Calibri" w:eastAsia="Calibri" w:hAnsi="Calibri"/>
                <w:b w:val="false"/>
                <w:bCs w:val="false"/>
                <w:sz w:val="18"/>
                <w:szCs w:val="18"/>
              </w:rPr>
              <w:t xml:space="preserve">Tráfico de red, incluidas direcciones IP y peticiones</w:t>
            </w:r>
          </w:p>
        </w:tc>
        <w:tc>
          <w:tcPr>
            <w:tcMar>
              <w:top w:type="dxa" w:w="60"/>
              <w:left w:type="dxa" w:w="100"/>
              <w:bottom w:type="dxa" w:w="60"/>
              <w:right w:type="dxa" w:w="100"/>
            </w:tcMar>
          </w:tcPr>
          <w:p>
            <w:r>
              <w:rPr>
                <w:rFonts w:ascii="Calibri" w:cs="Calibri" w:eastAsia="Calibri" w:hAnsi="Calibri"/>
                <w:b w:val="false"/>
                <w:bCs w:val="false"/>
                <w:sz w:val="18"/>
                <w:szCs w:val="18"/>
              </w:rPr>
              <w:t xml:space="preserve">Red global, empresa de Estados Unidos</w:t>
            </w:r>
          </w:p>
        </w:tc>
        <w:tc>
          <w:tcPr>
            <w:tcMar>
              <w:top w:type="dxa" w:w="60"/>
              <w:left w:type="dxa" w:w="100"/>
              <w:bottom w:type="dxa" w:w="60"/>
              <w:right w:type="dxa" w:w="100"/>
            </w:tcMar>
          </w:tcPr>
          <w:p>
            <w:r>
              <w:rPr>
                <w:rFonts w:ascii="Calibri" w:cs="Calibri" w:eastAsia="Calibri" w:hAnsi="Calibri"/>
                <w:b w:val="false"/>
                <w:bCs w:val="false"/>
                <w:sz w:val="18"/>
                <w:szCs w:val="18"/>
              </w:rPr>
              <w:t xml:space="preserve">Solo en tránsito</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Amazon Web Services EMEA SARL</w:t>
            </w:r>
          </w:p>
        </w:tc>
        <w:tc>
          <w:tcPr>
            <w:tcMar>
              <w:top w:type="dxa" w:w="60"/>
              <w:left w:type="dxa" w:w="100"/>
              <w:bottom w:type="dxa" w:w="60"/>
              <w:right w:type="dxa" w:w="100"/>
            </w:tcMar>
          </w:tcPr>
          <w:p>
            <w:r>
              <w:rPr>
                <w:rFonts w:ascii="Calibri" w:cs="Calibri" w:eastAsia="Calibri" w:hAnsi="Calibri"/>
                <w:b w:val="false"/>
                <w:bCs w:val="false"/>
                <w:sz w:val="18"/>
                <w:szCs w:val="18"/>
              </w:rPr>
              <w:t xml:space="preserve">Alojamiento de nuestras analíticas web propias y de nuestras herramientas comerciales, en un servidor que opera Caudals</w:t>
            </w:r>
          </w:p>
        </w:tc>
        <w:tc>
          <w:tcPr>
            <w:tcMar>
              <w:top w:type="dxa" w:w="60"/>
              <w:left w:type="dxa" w:w="100"/>
              <w:bottom w:type="dxa" w:w="60"/>
              <w:right w:type="dxa" w:w="100"/>
            </w:tcMar>
          </w:tcPr>
          <w:p>
            <w:r>
              <w:rPr>
                <w:rFonts w:ascii="Calibri" w:cs="Calibri" w:eastAsia="Calibri" w:hAnsi="Calibri"/>
                <w:b w:val="false"/>
                <w:bCs w:val="false"/>
                <w:sz w:val="18"/>
                <w:szCs w:val="18"/>
              </w:rPr>
              <w:t xml:space="preserve">Analíticas web, con tu consentimiento, y datos de contactos profesionales</w:t>
            </w:r>
          </w:p>
        </w:tc>
        <w:tc>
          <w:tcPr>
            <w:tcMar>
              <w:top w:type="dxa" w:w="60"/>
              <w:left w:type="dxa" w:w="100"/>
              <w:bottom w:type="dxa" w:w="60"/>
              <w:right w:type="dxa" w:w="100"/>
            </w:tcMar>
          </w:tcPr>
          <w:p>
            <w:r>
              <w:rPr>
                <w:rFonts w:ascii="Calibri" w:cs="Calibri" w:eastAsia="Calibri" w:hAnsi="Calibri"/>
                <w:b w:val="false"/>
                <w:bCs w:val="false"/>
                <w:sz w:val="18"/>
                <w:szCs w:val="18"/>
              </w:rPr>
              <w:t xml:space="preserve">Alemania (UE)</w:t>
            </w:r>
          </w:p>
        </w:tc>
        <w:tc>
          <w:tcPr>
            <w:tcMar>
              <w:top w:type="dxa" w:w="60"/>
              <w:left w:type="dxa" w:w="100"/>
              <w:bottom w:type="dxa" w:w="60"/>
              <w:right w:type="dxa" w:w="100"/>
            </w:tcMar>
          </w:tcPr>
          <w:p>
            <w:r>
              <w:rPr>
                <w:rFonts w:ascii="Calibri" w:cs="Calibri" w:eastAsia="Calibri" w:hAnsi="Calibri"/>
                <w:b w:val="false"/>
                <w:bCs w:val="false"/>
                <w:sz w:val="18"/>
                <w:szCs w:val="18"/>
              </w:rPr>
              <w:t xml:space="preserve">No</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Resend</w:t>
            </w:r>
          </w:p>
        </w:tc>
        <w:tc>
          <w:tcPr>
            <w:tcMar>
              <w:top w:type="dxa" w:w="60"/>
              <w:left w:type="dxa" w:w="100"/>
              <w:bottom w:type="dxa" w:w="60"/>
              <w:right w:type="dxa" w:w="100"/>
            </w:tcMar>
          </w:tcPr>
          <w:p>
            <w:r>
              <w:rPr>
                <w:rFonts w:ascii="Calibri" w:cs="Calibri" w:eastAsia="Calibri" w:hAnsi="Calibri"/>
                <w:b w:val="false"/>
                <w:bCs w:val="false"/>
                <w:sz w:val="18"/>
                <w:szCs w:val="18"/>
              </w:rPr>
              <w:t xml:space="preserve">Envío de correos de la cuenta, de notificaciones y de la newsletter</w:t>
            </w:r>
          </w:p>
        </w:tc>
        <w:tc>
          <w:tcPr>
            <w:tcMar>
              <w:top w:type="dxa" w:w="60"/>
              <w:left w:type="dxa" w:w="100"/>
              <w:bottom w:type="dxa" w:w="60"/>
              <w:right w:type="dxa" w:w="100"/>
            </w:tcMar>
          </w:tcPr>
          <w:p>
            <w:r>
              <w:rPr>
                <w:rFonts w:ascii="Calibri" w:cs="Calibri" w:eastAsia="Calibri" w:hAnsi="Calibri"/>
                <w:b w:val="false"/>
                <w:bCs w:val="false"/>
                <w:sz w:val="18"/>
                <w:szCs w:val="18"/>
              </w:rPr>
              <w:t xml:space="preserve">Direcciones y contenido de los correos</w:t>
            </w:r>
          </w:p>
        </w:tc>
        <w:tc>
          <w:tcPr>
            <w:tcMar>
              <w:top w:type="dxa" w:w="60"/>
              <w:left w:type="dxa" w:w="100"/>
              <w:bottom w:type="dxa" w:w="60"/>
              <w:right w:type="dxa" w:w="100"/>
            </w:tcMar>
          </w:tcPr>
          <w:p>
            <w:r>
              <w:rPr>
                <w:rFonts w:ascii="Calibri" w:cs="Calibri" w:eastAsia="Calibri" w:hAnsi="Calibri"/>
                <w:b w:val="false"/>
                <w:bCs w:val="false"/>
                <w:sz w:val="18"/>
                <w:szCs w:val="18"/>
              </w:rPr>
              <w:t xml:space="preserve">Estados Unidos</w:t>
            </w:r>
          </w:p>
        </w:tc>
        <w:tc>
          <w:tcPr>
            <w:tcMar>
              <w:top w:type="dxa" w:w="60"/>
              <w:left w:type="dxa" w:w="100"/>
              <w:bottom w:type="dxa" w:w="60"/>
              <w:right w:type="dxa" w:w="100"/>
            </w:tcMar>
          </w:tcPr>
          <w:p>
            <w:r>
              <w:rPr>
                <w:rFonts w:ascii="Calibri" w:cs="Calibri" w:eastAsia="Calibri" w:hAnsi="Calibri"/>
                <w:b w:val="false"/>
                <w:bCs w:val="false"/>
                <w:sz w:val="18"/>
                <w:szCs w:val="18"/>
              </w:rPr>
              <w:t xml:space="preserve">Solo lo que contiene una notificación, como el nombre de una evaluación</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Sentry (Functional Software, Inc.)</w:t>
            </w:r>
          </w:p>
        </w:tc>
        <w:tc>
          <w:tcPr>
            <w:tcMar>
              <w:top w:type="dxa" w:w="60"/>
              <w:left w:type="dxa" w:w="100"/>
              <w:bottom w:type="dxa" w:w="60"/>
              <w:right w:type="dxa" w:w="100"/>
            </w:tcMar>
          </w:tcPr>
          <w:p>
            <w:r>
              <w:rPr>
                <w:rFonts w:ascii="Calibri" w:cs="Calibri" w:eastAsia="Calibri" w:hAnsi="Calibri"/>
                <w:b w:val="false"/>
                <w:bCs w:val="false"/>
                <w:sz w:val="18"/>
                <w:szCs w:val="18"/>
              </w:rPr>
              <w:t xml:space="preserve">Monitorización de errores de la aplicación</w:t>
            </w:r>
          </w:p>
        </w:tc>
        <w:tc>
          <w:tcPr>
            <w:tcMar>
              <w:top w:type="dxa" w:w="60"/>
              <w:left w:type="dxa" w:w="100"/>
              <w:bottom w:type="dxa" w:w="60"/>
              <w:right w:type="dxa" w:w="100"/>
            </w:tcMar>
          </w:tcPr>
          <w:p>
            <w:r>
              <w:rPr>
                <w:rFonts w:ascii="Calibri" w:cs="Calibri" w:eastAsia="Calibri" w:hAnsi="Calibri"/>
                <w:b w:val="false"/>
                <w:bCs w:val="false"/>
                <w:sz w:val="18"/>
                <w:szCs w:val="18"/>
              </w:rPr>
              <w:t xml:space="preserve">Informes técnicos de errores, configurados para excluir datos personales por defecto</w:t>
            </w:r>
          </w:p>
        </w:tc>
        <w:tc>
          <w:tcPr>
            <w:tcMar>
              <w:top w:type="dxa" w:w="60"/>
              <w:left w:type="dxa" w:w="100"/>
              <w:bottom w:type="dxa" w:w="60"/>
              <w:right w:type="dxa" w:w="100"/>
            </w:tcMar>
          </w:tcPr>
          <w:p>
            <w:r>
              <w:rPr>
                <w:rFonts w:ascii="Calibri" w:cs="Calibri" w:eastAsia="Calibri" w:hAnsi="Calibri"/>
                <w:b w:val="false"/>
                <w:bCs w:val="false"/>
                <w:sz w:val="18"/>
                <w:szCs w:val="18"/>
              </w:rPr>
              <w:t xml:space="preserve">Región de datos de la UE (Alemania)</w:t>
            </w:r>
          </w:p>
        </w:tc>
        <w:tc>
          <w:tcPr>
            <w:tcMar>
              <w:top w:type="dxa" w:w="60"/>
              <w:left w:type="dxa" w:w="100"/>
              <w:bottom w:type="dxa" w:w="60"/>
              <w:right w:type="dxa" w:w="100"/>
            </w:tcMar>
          </w:tcPr>
          <w:p>
            <w:r>
              <w:rPr>
                <w:rFonts w:ascii="Calibri" w:cs="Calibri" w:eastAsia="Calibri" w:hAnsi="Calibri"/>
                <w:b w:val="false"/>
                <w:bCs w:val="false"/>
                <w:sz w:val="18"/>
                <w:szCs w:val="18"/>
              </w:rPr>
              <w:t xml:space="preserve">No</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Stripe Payments Europe, Ltd.</w:t>
            </w:r>
          </w:p>
        </w:tc>
        <w:tc>
          <w:tcPr>
            <w:tcMar>
              <w:top w:type="dxa" w:w="60"/>
              <w:left w:type="dxa" w:w="100"/>
              <w:bottom w:type="dxa" w:w="60"/>
              <w:right w:type="dxa" w:w="100"/>
            </w:tcMar>
          </w:tcPr>
          <w:p>
            <w:r>
              <w:rPr>
                <w:rFonts w:ascii="Calibri" w:cs="Calibri" w:eastAsia="Calibri" w:hAnsi="Calibri"/>
                <w:b w:val="false"/>
                <w:bCs w:val="false"/>
                <w:sz w:val="18"/>
                <w:szCs w:val="18"/>
              </w:rPr>
              <w:t xml:space="preserve">Pagos con tarjeta de compras de créditos y control del fraude</w:t>
            </w:r>
          </w:p>
        </w:tc>
        <w:tc>
          <w:tcPr>
            <w:tcMar>
              <w:top w:type="dxa" w:w="60"/>
              <w:left w:type="dxa" w:w="100"/>
              <w:bottom w:type="dxa" w:w="60"/>
              <w:right w:type="dxa" w:w="100"/>
            </w:tcMar>
          </w:tcPr>
          <w:p>
            <w:r>
              <w:rPr>
                <w:rFonts w:ascii="Calibri" w:cs="Calibri" w:eastAsia="Calibri" w:hAnsi="Calibri"/>
                <w:b w:val="false"/>
                <w:bCs w:val="false"/>
                <w:sz w:val="18"/>
                <w:szCs w:val="18"/>
              </w:rPr>
              <w:t xml:space="preserve">Datos de la empresa y de contacto de facturación, datos de pago</w:t>
            </w:r>
          </w:p>
        </w:tc>
        <w:tc>
          <w:tcPr>
            <w:tcMar>
              <w:top w:type="dxa" w:w="60"/>
              <w:left w:type="dxa" w:w="100"/>
              <w:bottom w:type="dxa" w:w="60"/>
              <w:right w:type="dxa" w:w="100"/>
            </w:tcMar>
          </w:tcPr>
          <w:p>
            <w:r>
              <w:rPr>
                <w:rFonts w:ascii="Calibri" w:cs="Calibri" w:eastAsia="Calibri" w:hAnsi="Calibri"/>
                <w:b w:val="false"/>
                <w:bCs w:val="false"/>
                <w:sz w:val="18"/>
                <w:szCs w:val="18"/>
              </w:rPr>
              <w:t xml:space="preserve">Irlanda (UE), con tratamiento en Estados Unidos</w:t>
            </w:r>
          </w:p>
        </w:tc>
        <w:tc>
          <w:tcPr>
            <w:tcMar>
              <w:top w:type="dxa" w:w="60"/>
              <w:left w:type="dxa" w:w="100"/>
              <w:bottom w:type="dxa" w:w="60"/>
              <w:right w:type="dxa" w:w="100"/>
            </w:tcMar>
          </w:tcPr>
          <w:p>
            <w:r>
              <w:rPr>
                <w:rFonts w:ascii="Calibri" w:cs="Calibri" w:eastAsia="Calibri" w:hAnsi="Calibri"/>
                <w:b w:val="false"/>
                <w:bCs w:val="false"/>
                <w:sz w:val="18"/>
                <w:szCs w:val="18"/>
              </w:rPr>
              <w:t xml:space="preserve">No</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Google (API de Gemini)</w:t>
            </w:r>
          </w:p>
        </w:tc>
        <w:tc>
          <w:tcPr>
            <w:tcMar>
              <w:top w:type="dxa" w:w="60"/>
              <w:left w:type="dxa" w:w="100"/>
              <w:bottom w:type="dxa" w:w="60"/>
              <w:right w:type="dxa" w:w="100"/>
            </w:tcMar>
          </w:tcPr>
          <w:p>
            <w:r>
              <w:rPr>
                <w:rFonts w:ascii="Calibri" w:cs="Calibri" w:eastAsia="Calibri" w:hAnsi="Calibri"/>
                <w:b w:val="false"/>
                <w:bCs w:val="false"/>
                <w:sz w:val="18"/>
                <w:szCs w:val="18"/>
              </w:rPr>
              <w:t xml:space="preserve">Modelo de IA: alternativa para la prueba pública gratuita cuando nuestro modelo está ocupado, y modelo que tu espacio de trabajo puede elegir</w:t>
            </w:r>
          </w:p>
        </w:tc>
        <w:tc>
          <w:tcPr>
            <w:tcMar>
              <w:top w:type="dxa" w:w="60"/>
              <w:left w:type="dxa" w:w="100"/>
              <w:bottom w:type="dxa" w:w="60"/>
              <w:right w:type="dxa" w:w="100"/>
            </w:tcMar>
          </w:tcPr>
          <w:p>
            <w:r>
              <w:rPr>
                <w:rFonts w:ascii="Calibri" w:cs="Calibri" w:eastAsia="Calibri" w:hAnsi="Calibri"/>
                <w:b w:val="false"/>
                <w:bCs w:val="false"/>
                <w:sz w:val="18"/>
                <w:szCs w:val="18"/>
              </w:rPr>
              <w:t xml:space="preserve">Texto de páginas públicas, preguntas y respuestas de la prueba pública; contenido del espacio de trabajo solo si este elige un modelo de Google</w:t>
            </w:r>
          </w:p>
        </w:tc>
        <w:tc>
          <w:tcPr>
            <w:tcMar>
              <w:top w:type="dxa" w:w="60"/>
              <w:left w:type="dxa" w:w="100"/>
              <w:bottom w:type="dxa" w:w="60"/>
              <w:right w:type="dxa" w:w="100"/>
            </w:tcMar>
          </w:tcPr>
          <w:p>
            <w:r>
              <w:rPr>
                <w:rFonts w:ascii="Calibri" w:cs="Calibri" w:eastAsia="Calibri" w:hAnsi="Calibri"/>
                <w:b w:val="false"/>
                <w:bCs w:val="false"/>
                <w:sz w:val="18"/>
                <w:szCs w:val="18"/>
              </w:rPr>
              <w:t xml:space="preserve">Estados Unidos y otros países</w:t>
            </w:r>
          </w:p>
        </w:tc>
        <w:tc>
          <w:tcPr>
            <w:tcMar>
              <w:top w:type="dxa" w:w="60"/>
              <w:left w:type="dxa" w:w="100"/>
              <w:bottom w:type="dxa" w:w="60"/>
              <w:right w:type="dxa" w:w="100"/>
            </w:tcMar>
          </w:tcPr>
          <w:p>
            <w:r>
              <w:rPr>
                <w:rFonts w:ascii="Calibri" w:cs="Calibri" w:eastAsia="Calibri" w:hAnsi="Calibri"/>
                <w:b w:val="false"/>
                <w:bCs w:val="false"/>
                <w:sz w:val="18"/>
                <w:szCs w:val="18"/>
              </w:rPr>
              <w:t xml:space="preserve">Solo si tu espacio de trabajo lo elige</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OpenRouter, Inc.</w:t>
            </w:r>
          </w:p>
        </w:tc>
        <w:tc>
          <w:tcPr>
            <w:tcMar>
              <w:top w:type="dxa" w:w="60"/>
              <w:left w:type="dxa" w:w="100"/>
              <w:bottom w:type="dxa" w:w="60"/>
              <w:right w:type="dxa" w:w="100"/>
            </w:tcMar>
          </w:tcPr>
          <w:p>
            <w:r>
              <w:rPr>
                <w:rFonts w:ascii="Calibri" w:cs="Calibri" w:eastAsia="Calibri" w:hAnsi="Calibri"/>
                <w:b w:val="false"/>
                <w:bCs w:val="false"/>
                <w:sz w:val="18"/>
                <w:szCs w:val="18"/>
              </w:rPr>
              <w:t xml:space="preserve">Acceso a modelos de IA de varios proveedores, que reciben la petición: alternativa para la prueba pública gratuita, y modelos que tu espacio de trabajo puede elegir</w:t>
            </w:r>
          </w:p>
        </w:tc>
        <w:tc>
          <w:tcPr>
            <w:tcMar>
              <w:top w:type="dxa" w:w="60"/>
              <w:left w:type="dxa" w:w="100"/>
              <w:bottom w:type="dxa" w:w="60"/>
              <w:right w:type="dxa" w:w="100"/>
            </w:tcMar>
          </w:tcPr>
          <w:p>
            <w:r>
              <w:rPr>
                <w:rFonts w:ascii="Calibri" w:cs="Calibri" w:eastAsia="Calibri" w:hAnsi="Calibri"/>
                <w:b w:val="false"/>
                <w:bCs w:val="false"/>
                <w:sz w:val="18"/>
                <w:szCs w:val="18"/>
              </w:rPr>
              <w:t xml:space="preserve">Texto de páginas públicas, preguntas y respuestas de la prueba pública; contenido del espacio de trabajo solo si este elige un modelo a través de OpenRouter</w:t>
            </w:r>
          </w:p>
        </w:tc>
        <w:tc>
          <w:tcPr>
            <w:tcMar>
              <w:top w:type="dxa" w:w="60"/>
              <w:left w:type="dxa" w:w="100"/>
              <w:bottom w:type="dxa" w:w="60"/>
              <w:right w:type="dxa" w:w="100"/>
            </w:tcMar>
          </w:tcPr>
          <w:p>
            <w:r>
              <w:rPr>
                <w:rFonts w:ascii="Calibri" w:cs="Calibri" w:eastAsia="Calibri" w:hAnsi="Calibri"/>
                <w:b w:val="false"/>
                <w:bCs w:val="false"/>
                <w:sz w:val="18"/>
                <w:szCs w:val="18"/>
              </w:rPr>
              <w:t xml:space="preserve">Estados Unidos y otros países</w:t>
            </w:r>
          </w:p>
        </w:tc>
        <w:tc>
          <w:tcPr>
            <w:tcMar>
              <w:top w:type="dxa" w:w="60"/>
              <w:left w:type="dxa" w:w="100"/>
              <w:bottom w:type="dxa" w:w="60"/>
              <w:right w:type="dxa" w:w="100"/>
            </w:tcMar>
          </w:tcPr>
          <w:p>
            <w:r>
              <w:rPr>
                <w:rFonts w:ascii="Calibri" w:cs="Calibri" w:eastAsia="Calibri" w:hAnsi="Calibri"/>
                <w:b w:val="false"/>
                <w:bCs w:val="false"/>
                <w:sz w:val="18"/>
                <w:szCs w:val="18"/>
              </w:rPr>
              <w:t xml:space="preserve">Solo si tu espacio de trabajo lo elige</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NVIDIA (catálogo de API)</w:t>
            </w:r>
          </w:p>
        </w:tc>
        <w:tc>
          <w:tcPr>
            <w:tcMar>
              <w:top w:type="dxa" w:w="60"/>
              <w:left w:type="dxa" w:w="100"/>
              <w:bottom w:type="dxa" w:w="60"/>
              <w:right w:type="dxa" w:w="100"/>
            </w:tcMar>
          </w:tcPr>
          <w:p>
            <w:r>
              <w:rPr>
                <w:rFonts w:ascii="Calibri" w:cs="Calibri" w:eastAsia="Calibri" w:hAnsi="Calibri"/>
                <w:b w:val="false"/>
                <w:bCs w:val="false"/>
                <w:sz w:val="18"/>
                <w:szCs w:val="18"/>
              </w:rPr>
              <w:t xml:space="preserve">Modelos de IA que tu espacio de trabajo puede elegir</w:t>
            </w:r>
          </w:p>
        </w:tc>
        <w:tc>
          <w:tcPr>
            <w:tcMar>
              <w:top w:type="dxa" w:w="60"/>
              <w:left w:type="dxa" w:w="100"/>
              <w:bottom w:type="dxa" w:w="60"/>
              <w:right w:type="dxa" w:w="100"/>
            </w:tcMar>
          </w:tcPr>
          <w:p>
            <w:r>
              <w:rPr>
                <w:rFonts w:ascii="Calibri" w:cs="Calibri" w:eastAsia="Calibri" w:hAnsi="Calibri"/>
                <w:b w:val="false"/>
                <w:bCs w:val="false"/>
                <w:sz w:val="18"/>
                <w:szCs w:val="18"/>
              </w:rPr>
              <w:t xml:space="preserve">Contenido del espacio de trabajo, solo si este elige un modelo alojado por NVIDIA</w:t>
            </w:r>
          </w:p>
        </w:tc>
        <w:tc>
          <w:tcPr>
            <w:tcMar>
              <w:top w:type="dxa" w:w="60"/>
              <w:left w:type="dxa" w:w="100"/>
              <w:bottom w:type="dxa" w:w="60"/>
              <w:right w:type="dxa" w:w="100"/>
            </w:tcMar>
          </w:tcPr>
          <w:p>
            <w:r>
              <w:rPr>
                <w:rFonts w:ascii="Calibri" w:cs="Calibri" w:eastAsia="Calibri" w:hAnsi="Calibri"/>
                <w:b w:val="false"/>
                <w:bCs w:val="false"/>
                <w:sz w:val="18"/>
                <w:szCs w:val="18"/>
              </w:rPr>
              <w:t xml:space="preserve">Estados Unidos</w:t>
            </w:r>
          </w:p>
        </w:tc>
        <w:tc>
          <w:tcPr>
            <w:tcMar>
              <w:top w:type="dxa" w:w="60"/>
              <w:left w:type="dxa" w:w="100"/>
              <w:bottom w:type="dxa" w:w="60"/>
              <w:right w:type="dxa" w:w="100"/>
            </w:tcMar>
          </w:tcPr>
          <w:p>
            <w:r>
              <w:rPr>
                <w:rFonts w:ascii="Calibri" w:cs="Calibri" w:eastAsia="Calibri" w:hAnsi="Calibri"/>
                <w:b w:val="false"/>
                <w:bCs w:val="false"/>
                <w:sz w:val="18"/>
                <w:szCs w:val="18"/>
              </w:rPr>
              <w:t xml:space="preserve">Solo si tu espacio de trabajo lo elige</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Cal.com, Inc.</w:t>
            </w:r>
          </w:p>
        </w:tc>
        <w:tc>
          <w:tcPr>
            <w:tcMar>
              <w:top w:type="dxa" w:w="60"/>
              <w:left w:type="dxa" w:w="100"/>
              <w:bottom w:type="dxa" w:w="60"/>
              <w:right w:type="dxa" w:w="100"/>
            </w:tcMar>
          </w:tcPr>
          <w:p>
            <w:r>
              <w:rPr>
                <w:rFonts w:ascii="Calibri" w:cs="Calibri" w:eastAsia="Calibri" w:hAnsi="Calibri"/>
                <w:b w:val="false"/>
                <w:bCs w:val="false"/>
                <w:sz w:val="18"/>
                <w:szCs w:val="18"/>
              </w:rPr>
              <w:t xml:space="preserve">Reserva de reuniones desde nuestra web</w:t>
            </w:r>
          </w:p>
        </w:tc>
        <w:tc>
          <w:tcPr>
            <w:tcMar>
              <w:top w:type="dxa" w:w="60"/>
              <w:left w:type="dxa" w:w="100"/>
              <w:bottom w:type="dxa" w:w="60"/>
              <w:right w:type="dxa" w:w="100"/>
            </w:tcMar>
          </w:tcPr>
          <w:p>
            <w:r>
              <w:rPr>
                <w:rFonts w:ascii="Calibri" w:cs="Calibri" w:eastAsia="Calibri" w:hAnsi="Calibri"/>
                <w:b w:val="false"/>
                <w:bCs w:val="false"/>
                <w:sz w:val="18"/>
                <w:szCs w:val="18"/>
              </w:rPr>
              <w:t xml:space="preserve">Nombre, correo electrónico y los datos que añadas a la reserva</w:t>
            </w:r>
          </w:p>
        </w:tc>
        <w:tc>
          <w:tcPr>
            <w:tcMar>
              <w:top w:type="dxa" w:w="60"/>
              <w:left w:type="dxa" w:w="100"/>
              <w:bottom w:type="dxa" w:w="60"/>
              <w:right w:type="dxa" w:w="100"/>
            </w:tcMar>
          </w:tcPr>
          <w:p>
            <w:r>
              <w:rPr>
                <w:rFonts w:ascii="Calibri" w:cs="Calibri" w:eastAsia="Calibri" w:hAnsi="Calibri"/>
                <w:b w:val="false"/>
                <w:bCs w:val="false"/>
                <w:sz w:val="18"/>
                <w:szCs w:val="18"/>
              </w:rPr>
              <w:t xml:space="preserve">Estados Unidos</w:t>
            </w:r>
          </w:p>
        </w:tc>
        <w:tc>
          <w:tcPr>
            <w:tcMar>
              <w:top w:type="dxa" w:w="60"/>
              <w:left w:type="dxa" w:w="100"/>
              <w:bottom w:type="dxa" w:w="60"/>
              <w:right w:type="dxa" w:w="100"/>
            </w:tcMar>
          </w:tcPr>
          <w:p>
            <w:r>
              <w:rPr>
                <w:rFonts w:ascii="Calibri" w:cs="Calibri" w:eastAsia="Calibri" w:hAnsi="Calibri"/>
                <w:b w:val="false"/>
                <w:bCs w:val="false"/>
                <w:sz w:val="18"/>
                <w:szCs w:val="18"/>
              </w:rPr>
              <w:t xml:space="preserve">No</w:t>
            </w:r>
          </w:p>
        </w:tc>
      </w:tr>
    </w:tbl>
    <w:p>
      <w:pPr>
        <w:pStyle w:val="Heading1"/>
        <w:spacing w:after="120" w:before="300"/>
      </w:pPr>
      <w:r>
        <w:rPr>
          <w:rFonts w:ascii="Calibri" w:cs="Calibri" w:eastAsia="Calibri" w:hAnsi="Calibri"/>
          <w:b/>
          <w:bCs/>
          <w:sz w:val="24"/>
          <w:szCs w:val="24"/>
        </w:rPr>
        <w:t xml:space="preserve">Firmas</w:t>
      </w:r>
    </w:p>
    <w:p>
      <w:pPr>
        <w:spacing w:after="140" w:line="300"/>
      </w:pPr>
      <w:r>
        <w:rPr>
          <w:rFonts w:ascii="Calibri" w:cs="Calibri" w:eastAsia="Calibri" w:hAnsi="Calibri"/>
          <w:b/>
          <w:bCs/>
          <w:sz w:val="21"/>
          <w:szCs w:val="21"/>
        </w:rPr>
        <w:t xml:space="preserve">Por el Cliente</w:t>
      </w:r>
    </w:p>
    <w:p>
      <w:pPr>
        <w:spacing w:after="120"/>
      </w:pPr>
      <w:r>
        <w:rPr>
          <w:rFonts w:ascii="Calibri" w:cs="Calibri" w:eastAsia="Calibri" w:hAnsi="Calibri"/>
          <w:color w:val="6B6A63"/>
          <w:sz w:val="21"/>
          <w:szCs w:val="21"/>
        </w:rPr>
        <w:t xml:space="preserve">Nombre: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Cargo: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Fecha: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Firma: </w:t>
      </w:r>
      <w:r>
        <w:rPr>
          <w:rFonts w:ascii="Calibri" w:cs="Calibri" w:eastAsia="Calibri" w:hAnsi="Calibri"/>
          <w:sz w:val="21"/>
          <w:szCs w:val="21"/>
        </w:rPr>
        <w:t xml:space="preserve">______________________________________</w:t>
      </w:r>
    </w:p>
    <w:p>
      <w:pPr>
        <w:spacing w:after="140" w:line="300"/>
      </w:pPr>
      <w:r>
        <w:rPr>
          <w:rFonts w:ascii="Calibri" w:cs="Calibri" w:eastAsia="Calibri" w:hAnsi="Calibri"/>
          <w:b/>
          <w:bCs/>
          <w:sz w:val="21"/>
          <w:szCs w:val="21"/>
        </w:rPr>
        <w:t xml:space="preserve">Por Caudals</w:t>
      </w:r>
    </w:p>
    <w:p>
      <w:pPr>
        <w:spacing w:after="120"/>
      </w:pPr>
      <w:r>
        <w:rPr>
          <w:rFonts w:ascii="Calibri" w:cs="Calibri" w:eastAsia="Calibri" w:hAnsi="Calibri"/>
          <w:color w:val="6B6A63"/>
          <w:sz w:val="21"/>
          <w:szCs w:val="21"/>
        </w:rPr>
        <w:t xml:space="preserve">Nombre: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Cargo: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Fecha: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Firma: </w:t>
      </w:r>
      <w:r>
        <w:rPr>
          <w:rFonts w:ascii="Calibri" w:cs="Calibri" w:eastAsia="Calibri" w:hAnsi="Calibri"/>
          <w:sz w:val="21"/>
          <w:szCs w:val="21"/>
        </w:rPr>
        <w:t xml:space="preserve">______________________________________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6B6A63"/>
        <w:sz w:val="16"/>
        <w:szCs w:val="16"/>
      </w:rPr>
      <w:t xml:space="preserve">Contrato de encargo del tratamiento · Versión 2026-10-11 · </w:t>
    </w:r>
    <w:r>
      <w:rPr>
        <w:rFonts w:ascii="Calibri" w:cs="Calibri" w:eastAsia="Calibri" w:hAnsi="Calibri"/>
        <w:color w:val="6B6A6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encargo del tratamiento (2026-10-11)</dc:title>
  <dc:creator>Caudals</dc:creator>
  <cp:lastModifiedBy>Un-named</cp:lastModifiedBy>
  <cp:revision>1</cp:revision>
  <dcterms:created xsi:type="dcterms:W3CDTF">2026-10-14T22:56:01.235Z</dcterms:created>
  <dcterms:modified xsi:type="dcterms:W3CDTF">2026-10-14T22:56:01.235Z</dcterms:modified>
</cp:coreProperties>
</file>

<file path=docProps/custom.xml><?xml version="1.0" encoding="utf-8"?>
<Properties xmlns="http://schemas.openxmlformats.org/officeDocument/2006/custom-properties" xmlns:vt="http://schemas.openxmlformats.org/officeDocument/2006/docPropsVTypes"/>
</file>